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AsterVale RFP response</w:t>
      </w:r>
    </w:p>
    <w:p>
      <w:pPr>
        <w:pStyle w:val="Subtitle"/>
      </w:pPr>
      <w:r>
        <w:t>Enterprise Subscription + Implementation Services</w:t>
        <w:br/>
        <w:t>AV-RFP-2026-17  |  Version 1.1  |  Controlled draft dated 30 September 2026</w:t>
      </w:r>
    </w:p>
    <w:p>
      <w:r>
        <w:t>Prepared for internal bid review of AsterVale Advisory Pte. Ltd. Proposed contacts per supplied materials: Maya Chen, Procurement; Daniel Mercer, commercial coordination; Priya Nair, solution and delivery coordination. Names, roles and contact details require validation before external use.</w:t>
      </w:r>
    </w:p>
    <w:p>
      <w:pPr>
        <w:spacing w:before="120" w:after="160" w:line="252" w:lineRule="auto"/>
        <w:ind w:left="144" w:right="144"/>
        <w:shd w:fill="FCE8E6"/>
      </w:pPr>
      <w:r>
        <w:rPr>
          <w:rFonts w:ascii="Arial" w:hAnsi="Arial"/>
          <w:b/>
          <w:color w:val="912323"/>
          <w:sz w:val="19"/>
        </w:rPr>
        <w:t xml:space="preserve">CONTROL STATUS — CONDITIONAL BID PREPARATION ONLY. </w:t>
      </w:r>
      <w:r>
        <w:rPr>
          <w:rFonts w:ascii="Arial" w:hAnsi="Arial"/>
          <w:color w:val="501E1E"/>
          <w:sz w:val="19"/>
        </w:rPr>
        <w:t>Not approved for submission, signing, paid implementation or live customer-data processing. As of 30 September 2026, the supplied RFP (1 October), Addendum 01 (9 October), quote/response draft (14 October) and demonstration record (22 October) bear future dates; issuance, incorporation, quote validity and claimed later events remain unverified. Confirm the operative procurement record and close the required internal approvals before external use. No customer acceptance, award, production security approval or completed demo/pilot is represented.</w:t>
      </w:r>
    </w:p>
    <w:p>
      <w:r>
        <w:t>Subject to verification of the supplied customer source set, this conditional proposal describes a managed Singapore cloud service for an initial 60 named users and two advisory workflows. It provisionally reflects the file labelled Addendum 01 (9 October 2026) and quote AV-Q-2026-041 v1.0 (14 October 2026); their issue, incorporation, validity and operative status are not verified as of this controlled draft date. The supplied quote file states validity through 30 November 2026; verify before relying on it. Contract execution and written evaluation conditions would govern access and commitment.</w:t>
      </w:r>
    </w:p>
    <w:p>
      <w:pPr>
        <w:pStyle w:val="Heading2"/>
      </w:pPr>
      <w:r>
        <w:t>Contents</w:t>
      </w:r>
    </w:p>
    <w:p>
      <w:hyperlink w:anchor="chapter1">
        <w:r>
          <w:t>1 Executive summary</w:t>
        </w:r>
      </w:hyperlink>
    </w:p>
    <w:p>
      <w:hyperlink w:anchor="chapter2">
        <w:r>
          <w:t>2 Itemized solution</w:t>
        </w:r>
      </w:hyperlink>
    </w:p>
    <w:p>
      <w:hyperlink w:anchor="chapter3">
        <w:r>
          <w:t>3 Security and data handling</w:t>
        </w:r>
      </w:hyperlink>
    </w:p>
    <w:p>
      <w:hyperlink w:anchor="chapter4">
        <w:r>
          <w:t>4 Implementation and services</w:t>
        </w:r>
      </w:hyperlink>
    </w:p>
    <w:p>
      <w:hyperlink w:anchor="chapter5">
        <w:r>
          <w:t>5 Pricing</w:t>
        </w:r>
      </w:hyperlink>
    </w:p>
    <w:p>
      <w:hyperlink w:anchor="chapter6">
        <w:r>
          <w:t>6 Contract differences</w:t>
        </w:r>
      </w:hyperlink>
    </w:p>
    <w:p>
      <w:r>
        <w:br w:type="page"/>
      </w:r>
    </w:p>
    <w:p>
      <w:bookmarkStart w:id="1" w:name="chapter1"/>
      <w:pPr>
        <w:pStyle w:val="Heading1"/>
      </w:pPr>
      <w:r>
        <w:t>1 Executive summary</w:t>
      </w:r>
      <w:bookmarkEnd w:id="1"/>
    </w:p>
    <w:p>
      <w:pPr>
        <w:pStyle w:val="Heading2"/>
      </w:pPr>
      <w:r>
        <w:t>1.1 Understanding and proposed outcome</w:t>
      </w:r>
    </w:p>
    <w:p>
      <w:r>
        <w:t>The supplied opportunity materials describe AsterVale proposal and meeting teams as repeatedly gathering engagement evidence and reconstructing context. The supplied RFP/Q&amp;A identifies an initial 60-user cohort—30 consultants, 18 engagement managers, eight proposal specialists and four operations administrators across Singapore and London—subject to verification of the operative source set. Our proposed managed Noumi Enterprise 2026.3 organization uses an access-controlled project for each engagement and separate tasks for related deliverables. Authorized source files can be reused across those tasks, with evidence references for material statements.</w:t>
      </w:r>
    </w:p>
    <w:p>
      <w:r>
        <w:t>The service produces editable Word, Excel and PowerPoint artifacts. It also maintains visible, scoped working preferences that users can correct, delete or disable. An agreed proposal workflow and meeting preparation workflow will use current files, approved methods and human review before external delivery. The intended improvement is less repeated preparation with stable review quality. No productivity percentage or organization-wide return is promised; the pilot will measure preparation and review separately.</w:t>
      </w:r>
    </w:p>
    <w:p>
      <w:pPr>
        <w:pStyle w:val="Heading2"/>
      </w:pPr>
      <w:r>
        <w:t>1.2 Scope and document basis</w:t>
      </w:r>
    </w:p>
    <w:tbl>
      <w:tblPr>
        <w:tblW w:type="auto" w:w="0"/>
        <w:tblLayout w:type="fixed"/>
        <w:tblLook w:firstColumn="1" w:firstRow="1" w:lastColumn="0" w:lastRow="0" w:noHBand="0" w:noVBand="1" w:val="04A0"/>
      </w:tblPr>
      <w:tblGrid>
        <w:gridCol w:w="2880"/>
        <w:gridCol w:w="6696"/>
      </w:tblGrid>
      <w:tr>
        <w:trPr>
          <w:tblHeader/>
        </w:trPr>
        <w:tc>
          <w:tcPr>
            <w:tcW w:type="dxa" w:w="5083"/>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Included in the offer</w:t>
            </w:r>
          </w:p>
        </w:tc>
        <w:tc>
          <w:tcPr>
            <w:tcW w:type="dxa" w:w="5083"/>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Quantity or boundary</w:t>
            </w:r>
          </w:p>
        </w:tc>
      </w:tr>
      <w:tr>
        <w:tc>
          <w:tcPr>
            <w:tcW w:type="dxa" w:w="288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Enterprise subscription</w:t>
            </w:r>
          </w:p>
        </w:tc>
        <w:tc>
          <w:tcPr>
            <w:tcW w:type="dxa" w:w="669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60 named users for 12 months; 500 GB organization storage; 18,000,000 pooled annual Credits.</w:t>
            </w:r>
          </w:p>
        </w:tc>
      </w:tr>
      <w:tr>
        <w:tc>
          <w:tcPr>
            <w:tcW w:type="dxa" w:w="288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Implementation</w:t>
            </w:r>
          </w:p>
        </w:tc>
        <w:tc>
          <w:tcPr>
            <w:tcW w:type="dxa" w:w="669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Six calendar weeks; two workflows; one SAML connection; up to 200 selected documents; two administrator and two end-user sessions.</w:t>
            </w:r>
          </w:p>
        </w:tc>
      </w:tr>
      <w:tr>
        <w:tc>
          <w:tcPr>
            <w:tcW w:type="dxa" w:w="288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Support</w:t>
            </w:r>
          </w:p>
        </w:tc>
        <w:tc>
          <w:tcPr>
            <w:tcW w:type="dxa" w:w="669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Standard support plus enhanced 24x7 P1 coverage; one-hour initial P1 response.</w:t>
            </w:r>
          </w:p>
        </w:tc>
      </w:tr>
      <w:tr>
        <w:tc>
          <w:tcPr>
            <w:tcW w:type="dxa" w:w="288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Commercial totals</w:t>
            </w:r>
          </w:p>
        </w:tc>
        <w:tc>
          <w:tcPr>
            <w:tcW w:type="dxa" w:w="669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USD 79,200 first-year supplier fees; USD 69,600 recurring annual fees at unchanged scope/rates; applicable tax additional.</w:t>
            </w:r>
          </w:p>
        </w:tc>
      </w:tr>
    </w:tbl>
    <w:p>
      <w:r>
        <w:t>This draft assesses the supplied copies of AsterVale_RFP.docx Issue 1.0, AsterVale_Specifications_Checklist.xlsx v1.0, AsterVale_Service_Agreement.docx Attachment B v1.0, AsterVale_Official_QA.pdf Addendum 01 and AsterVale_Quote.xlsx AV-Q-2026-041 v1.0. The RFP, addendum and quote carry dates after 30 September 2026; Procurement must verify issuance, operative versions and incorporation before reliance. If Addendum 01 is confirmed, Q11 changes only the specified availability threshold and first credit-band boundary to 99.5%, and Q12 changes the recovery terms to RTO 8 hours / RPO 24 hours as objectives—not guaranteed restoration deadlines. The addendum does not resolve other terms by implication. The quote file states a 14 October 2026 issue date; its validity, price and approval status require verification.</w:t>
      </w:r>
    </w:p>
    <w:p>
      <w:pPr>
        <w:pStyle w:val="Heading2"/>
      </w:pPr>
      <w:r>
        <w:t>1.3 Accountable team and decision conditions</w:t>
      </w:r>
    </w:p>
    <w:p>
      <w:r>
        <w:t>The supplied materials identify Daniel Mercer for commercial coordination and Priya Nair for solution, implementation-plan and evidence coordination; verify these roles before external use. Delivery configuration, training and handover are limited to the fixed scope; six weeks does not imply a dedicated team. AsterVale would supply an identity administrator, approved test accounts and documents, a security reviewer and two workflow owners. Customer business, budget, security and contracting decisions remain with authorized customer owners.</w:t>
      </w:r>
    </w:p>
    <w:p>
      <w:r>
        <w:t>Known limitations include no SCIM provisioning, no continuous Notion two-way synchronization, no included fully offline deployment or local foundation model, and no universal PowerPoint animation or embedded-object fidelity. Independent Noumi ISO 27001 or SOC 2 assurance is not asserted. Sharing options, failure-notification delivery and inventory export details remain subject to the specific validation described in chapter 2. These limitations are disclosed rather than represented as future features.</w:t>
      </w:r>
    </w:p>
    <w:p>
      <w:r>
        <w:t>Decision posture: continue controlled bid preparation only. This document is not authorization to submit, accept the customer draft, execute a contract, start paid implementation or process live customer data. Before any submission, verify the operative RFP/addenda and quote, obtain role-specific Legal, Commercial, Finance, Security and Service Operations decisions on exact deviations, and confirm through Procurement that the bid path remains open. Before any order, close the business, budget, security, contractual and implementation conditions identified in Addendum Q28 if that addendum is verified as operative. Before production, agree the processing schedule and contract wording and execute the order. Proposed supplier terms and customer positions remain distinct in chapter 6; disclosure is not acceptance. No supplier selection or award is represented.</w:t>
      </w:r>
    </w:p>
    <w:p>
      <w:pPr>
        <w:pStyle w:val="Heading2"/>
      </w:pPr>
      <w:r>
        <w:t>1.4 Submission and evaluation administration</w:t>
      </w:r>
    </w:p>
    <w:p>
      <w:r>
        <w:t>If approved after the required gates, the proposed package is AsterVale_RFP_Response_v1.1_Controlled_Draft.docx (to be converted to a submission-approved revision), AsterVale_Specifications_Checklist_Response_v1.1.xlsx, and the verified current quote schedule. This controlled draft is not cleared for upload. The supplied RFP gives a 16 October 2026, 17:00 Singapore deadline and a 20 MB attachment limit; both are future-dated source assertions that Procurement must verify. Do not submit until Gate 1–2 in the decision recommendation are documented and the current submission channel, deadline, versions and receipt process are confirmed. Any later replacement must identify the attachment and revision it supersedes. Receipt would not establish compliance or award.</w:t>
      </w:r>
    </w:p>
    <w:p>
      <w:r>
        <w:t>Only approved evaluation material will be used. Written evaluation conditions must establish pilot access, data handling, support and any separately proposed pilot fee before access is accepted. No pilot charge is included in the USD 79,200 subscription and implementation quote, and no free evaluation entitlement is inferred. The planned 22 October demonstration and 26 October–20 November pilot do not start the annual subscription or production implementation.</w:t>
      </w:r>
    </w:p>
    <w:p>
      <w:r/>
    </w:p>
    <w:p>
      <w:bookmarkStart w:id="2" w:name="chapter2"/>
      <w:pPr>
        <w:pStyle w:val="Heading1"/>
      </w:pPr>
      <w:r>
        <w:t>2 Itemized solution</w:t>
      </w:r>
      <w:bookmarkEnd w:id="2"/>
    </w:p>
    <w:p>
      <w:pPr>
        <w:pStyle w:val="Heading2"/>
      </w:pPr>
      <w:r>
        <w:t>Workflow design and user journey</w:t>
      </w:r>
    </w:p>
    <w:p>
      <w:r>
        <w:t>For proposal preparation, the workflow owner creates the engagement project and identifies the current RFP, Checklist, approved product library and commercial sources. The analyst starts a requirements task, asks it to enumerate all customer IDs and narrative submission obligations, and reviews missing or conflicting evidence. The next task uses the same authorized project context to produce the six-chapter DOCX and completed customer XLSX. A reviewer checks each material claim, preserves unresolved differences, opens native files and authorizes any subsequent external action separately.</w:t>
      </w:r>
    </w:p>
    <w:p>
      <w:r>
        <w:t>For meeting preparation, the owner selects current engagement evidence, the approved response and presentation template. A new task prepares a brief and agenda, then generates a PPTX with editable text and ordinary objects. The user checks the story and citations, tests essential template elements and records manual rework for unsupported effects. A correction expressing a lasting preference can create a visible learning record; uncertain intent requires confirmation. The next relevant task uses only applicable active rules, while current customer instructions and source facts prevail.</w:t>
      </w:r>
    </w:p>
    <w:p>
      <w:r>
        <w:t>The requirement responses below retain all 56 customer identifiers. Meets describes documented fulfillment of the stated capability or disclosure obligation, not an executed customer test. Meets with configuration identifies included configuration and customer dependencies. Partial and unavailable coverage remain explicit. The paired Checklist uses the customer’s allowed status vocabulary and the same response locations. Each verification below is an acceptance procedure to be executed with AsterVale. Record the input revision, actor, action, expected and observed result, artifact and reviewer; documented capability does not establish a completed customer test.</w:t>
      </w:r>
    </w:p>
    <w:tbl>
      <w:tblPr>
        <w:tblW w:type="auto" w:w="0"/>
        <w:tblLayout w:type="fixed"/>
        <w:tblLook w:firstColumn="1" w:firstRow="1" w:lastColumn="0" w:lastRow="0" w:noHBand="0" w:noVBand="1" w:val="04A0"/>
      </w:tblPr>
      <w:tblGrid>
        <w:gridCol w:w="2448"/>
        <w:gridCol w:w="2448"/>
        <w:gridCol w:w="2448"/>
        <w:gridCol w:w="2448"/>
      </w:tblGrid>
      <w:tr>
        <w:trPr>
          <w:tblHeader/>
        </w:trPr>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1 • Discover</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2 • Prepare</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3 • Verify</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4 • Release</w:t>
            </w:r>
          </w:p>
        </w:tc>
      </w:tr>
      <w:tr>
        <w:tc>
          <w:tcPr>
            <w:tcW w:type="dxa" w:w="24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Workflow owner selects the engagement and approved sources. Access checks limit retrieval.</w:t>
            </w:r>
          </w:p>
        </w:tc>
        <w:tc>
          <w:tcPr>
            <w:tcW w:type="dxa" w:w="24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Noumi extracts requirements and creates native artifacts. Priya checks gaps and explicit limitations.</w:t>
            </w:r>
          </w:p>
        </w:tc>
        <w:tc>
          <w:tcPr>
            <w:tcW w:type="dxa" w:w="24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Named AsterVale reviewers inspect facts, source references and formatting; correct and retest.</w:t>
            </w:r>
          </w:p>
        </w:tc>
        <w:tc>
          <w:tcPr>
            <w:tcW w:type="dxa" w:w="24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Authorized owner approves the final artifact. Any external send or supported write requires its own authorization.</w:t>
            </w:r>
          </w:p>
        </w:tc>
      </w:tr>
    </w:tbl>
    <w:p>
      <w:pPr>
        <w:pStyle w:val="Heading2"/>
        <w:keepNext/>
      </w:pPr>
      <w:r>
        <w:t>2.1 AV-001 Workspace</w:t>
      </w:r>
    </w:p>
    <w:p>
      <w:pPr>
        <w:keepNext/>
      </w:pPr>
      <w:r>
        <w:t>Create a separate workspace for each advisory engagement with an explicit member list.</w:t>
      </w:r>
    </w:p>
    <w:p>
      <w:pPr>
        <w:keepNext/>
      </w:pPr>
      <w:r>
        <w:t>Response: Meets. Create a named engagement project, assign its owner and members, then place approved files in that project. Test retrieval using an unassigned consultant.</w:t>
      </w:r>
    </w:p>
    <w:p>
      <w:pPr>
        <w:keepNext/>
      </w:pPr>
      <w:r>
        <w:t>Conditions and boundaries: Effective group and direct grants must both be checked.</w:t>
      </w:r>
    </w:p>
    <w:p>
      <w:pPr>
        <w:keepNext/>
      </w:pPr>
      <w:r>
        <w:t>Verification: Create two engagements and verify that an unassigned consultant cannot retrieve the other engagement files.</w:t>
      </w:r>
    </w:p>
    <w:p>
      <w:pPr>
        <w:keepNext w:val="0"/>
      </w:pPr>
      <w:r>
        <w:t>Evidence: Noumi_Product_Capabilities.md v1.1, CAP-001, CAP-030.</w:t>
      </w:r>
    </w:p>
    <w:p>
      <w:pPr>
        <w:pStyle w:val="Heading2"/>
        <w:keepNext/>
      </w:pPr>
      <w:r>
        <w:t>2.2 AV-002 Workspace</w:t>
      </w:r>
    </w:p>
    <w:p>
      <w:pPr>
        <w:keepNext/>
      </w:pPr>
      <w:r>
        <w:t>Allow multiple task conversations to use authorized engagement files without merging their temporary instructions.</w:t>
      </w:r>
    </w:p>
    <w:p>
      <w:pPr>
        <w:keepNext/>
      </w:pPr>
      <w:r>
        <w:t>Response: Meets. Start a separate conversation for each output while using the same authorized project files. Keep temporary instructions local to each task.</w:t>
      </w:r>
    </w:p>
    <w:p>
      <w:pPr>
        <w:keepNext/>
      </w:pPr>
      <w:r>
        <w:t>Conditions and boundaries: Shared files remain shared evidence; local task instructions do not become general preferences.</w:t>
      </w:r>
    </w:p>
    <w:p>
      <w:pPr>
        <w:keepNext/>
      </w:pPr>
      <w:r>
        <w:t>Verification: Run two tasks with contradictory local instructions and show their isolated results.</w:t>
      </w:r>
    </w:p>
    <w:p>
      <w:pPr>
        <w:keepNext w:val="0"/>
      </w:pPr>
      <w:r>
        <w:t>Evidence: Noumi_Product_Capabilities.md v1.1, CAP-002, CAP-003.</w:t>
      </w:r>
    </w:p>
    <w:p>
      <w:pPr>
        <w:pStyle w:val="Heading2"/>
        <w:keepNext/>
      </w:pPr>
      <w:r>
        <w:t>2.3 AV-003 Workspace</w:t>
      </w:r>
    </w:p>
    <w:p>
      <w:pPr>
        <w:keepNext/>
      </w:pPr>
      <w:r>
        <w:t>Accept DOCX, XLSX, PPTX, PDF, Markdown and image inputs.</w:t>
      </w:r>
    </w:p>
    <w:p>
      <w:pPr>
        <w:keepNext/>
      </w:pPr>
      <w:r>
        <w:t>Response: Meets. Ingest the six requested formats and inspect extracted headings, tables and image content before drafting. Report parsing failures explicitly.</w:t>
      </w:r>
    </w:p>
    <w:p>
      <w:pPr>
        <w:keepNext/>
      </w:pPr>
      <w:r>
        <w:t>Conditions and boundaries: 200 MB per file; split larger files. Unlock protected inputs by an approved method. Scans and embedded objects require visual review.</w:t>
      </w:r>
    </w:p>
    <w:p>
      <w:pPr>
        <w:keepNext/>
      </w:pPr>
      <w:r>
        <w:t>Verification: Upload one of each format and identify content successfully or report an explicit parsing limitation.</w:t>
      </w:r>
    </w:p>
    <w:p>
      <w:pPr>
        <w:keepNext w:val="0"/>
      </w:pPr>
      <w:r>
        <w:t>Evidence: Noumi_Product_Capabilities.md v1.1, CAP-004, CAP-005.</w:t>
      </w:r>
    </w:p>
    <w:p>
      <w:pPr>
        <w:pStyle w:val="Heading2"/>
        <w:keepNext/>
      </w:pPr>
      <w:r>
        <w:t>2.4 AV-004 Workspace</w:t>
      </w:r>
    </w:p>
    <w:p>
      <w:pPr>
        <w:keepNext/>
      </w:pPr>
      <w:r>
        <w:t>Produce editable Word, Excel and PowerPoint deliverables.</w:t>
      </w:r>
    </w:p>
    <w:p>
      <w:pPr>
        <w:keepNext/>
      </w:pPr>
      <w:r>
        <w:t>Response: Meets. Create DOCX narratives, formula-bearing XLSX schedules and editable PPTX text and slide objects. Open each result and edit native content during acceptance.</w:t>
      </w:r>
    </w:p>
    <w:p>
      <w:pPr>
        <w:keepNext/>
      </w:pPr>
      <w:r>
        <w:t>Conditions and boundaries: Raster illustrations remain images; macros, external workbook links and complex animations need separate validation.</w:t>
      </w:r>
    </w:p>
    <w:p>
      <w:pPr>
        <w:keepNext/>
      </w:pPr>
      <w:r>
        <w:t>Verification: Open generated files in their native applications and edit text, cells and slide objects.</w:t>
      </w:r>
    </w:p>
    <w:p>
      <w:pPr>
        <w:keepNext w:val="0"/>
      </w:pPr>
      <w:r>
        <w:t>Evidence: Noumi_Product_Capabilities.md v1.1, CAP-008, CAP-009, CAP-010; AsterVale_Official_QA.pdf Addendum 01, Q06, Q26.</w:t>
      </w:r>
    </w:p>
    <w:p>
      <w:pPr>
        <w:pStyle w:val="Heading2"/>
        <w:keepNext/>
      </w:pPr>
      <w:r>
        <w:t>2.5 AV-005 Workspace</w:t>
      </w:r>
    </w:p>
    <w:p>
      <w:pPr>
        <w:keepNext/>
      </w:pPr>
      <w:r>
        <w:t>Provide searchable task, project and file history with links to the underlying artifact.</w:t>
      </w:r>
    </w:p>
    <w:p>
      <w:pPr>
        <w:keepNext/>
      </w:pPr>
      <w:r>
        <w:t>Response: Meets. Find prior artifacts by name, directory meaning or content phrase and follow the retained task output location.</w:t>
      </w:r>
    </w:p>
    <w:p>
      <w:pPr>
        <w:keepNext/>
      </w:pPr>
      <w:r>
        <w:t>Conditions and boundaries: Retrieval is not guaranteed exhaustive; confirm the governing revision.</w:t>
      </w:r>
    </w:p>
    <w:p>
      <w:pPr>
        <w:keepNext/>
      </w:pPr>
      <w:r>
        <w:t>Verification: Find a prior deliverable using its project name and text content.</w:t>
      </w:r>
    </w:p>
    <w:p>
      <w:pPr>
        <w:keepNext w:val="0"/>
      </w:pPr>
      <w:r>
        <w:t>Evidence: Noumi_Product_Capabilities.md v1.1, CAP-006, CAP-017.</w:t>
      </w:r>
    </w:p>
    <w:p>
      <w:pPr>
        <w:pStyle w:val="Heading2"/>
        <w:keepNext/>
      </w:pPr>
      <w:r>
        <w:t>2.6 AV-006 Workspace</w:t>
      </w:r>
    </w:p>
    <w:p>
      <w:pPr>
        <w:keepNext/>
      </w:pPr>
      <w:r>
        <w:t>Preserve original procurement documents and distinguish revised deliverables by version.</w:t>
      </w:r>
    </w:p>
    <w:p>
      <w:pPr>
        <w:keepNext/>
      </w:pPr>
      <w:r>
        <w:t>Response: Meets. Preserve original procurement files. Save revised outputs with version identity and source references; retrieve an earlier retained revision for comparison.</w:t>
      </w:r>
    </w:p>
    <w:p>
      <w:pPr>
        <w:keepNext/>
      </w:pPr>
      <w:r>
        <w:t>Conditions and boundaries: Revision recovery does not provide universal undelete or restore external records.</w:t>
      </w:r>
    </w:p>
    <w:p>
      <w:pPr>
        <w:keepNext/>
      </w:pPr>
      <w:r>
        <w:t>Verification: Revise a response, retrieve the earlier version and identify which RFP version each uses.</w:t>
      </w:r>
    </w:p>
    <w:p>
      <w:pPr>
        <w:keepNext w:val="0"/>
      </w:pPr>
      <w:r>
        <w:t>Evidence: Noumi_Product_Capabilities.md v1.1, CAP-019, CAP-012.</w:t>
      </w:r>
    </w:p>
    <w:p>
      <w:pPr>
        <w:pStyle w:val="Heading2"/>
        <w:keepNext/>
      </w:pPr>
      <w:r>
        <w:t>2.7 AV-007 Workspace</w:t>
      </w:r>
    </w:p>
    <w:p>
      <w:pPr>
        <w:keepNext/>
      </w:pPr>
      <w:r>
        <w:t>Support document import and authorized update from external repositories.</w:t>
      </w:r>
    </w:p>
    <w:p>
      <w:pPr>
        <w:keepNext/>
      </w:pPr>
      <w:r>
        <w:t>Response: Meets with configuration. Configure authorized Microsoft 365 file access; preview any supported update and obtain operation-specific approval before execution.</w:t>
      </w:r>
    </w:p>
    <w:p>
      <w:pPr>
        <w:keepNext/>
      </w:pPr>
      <w:r>
        <w:t>Conditions and boundaries: Read and update coverage differs by connector; scope and supported update actions require tenant validation.</w:t>
      </w:r>
    </w:p>
    <w:p>
      <w:pPr>
        <w:keepNext/>
      </w:pPr>
      <w:r>
        <w:t>Verification: Show one supported repository and describe conflicts, authentication and unsupported file types.</w:t>
      </w:r>
    </w:p>
    <w:p>
      <w:pPr>
        <w:keepNext w:val="0"/>
      </w:pPr>
      <w:r>
        <w:t>Evidence: Noumi_Product_Capabilities.md v1.1, CAP-035, CAP-036.</w:t>
      </w:r>
    </w:p>
    <w:p>
      <w:pPr>
        <w:pStyle w:val="Heading2"/>
        <w:keepNext/>
      </w:pPr>
      <w:r>
        <w:t>2.8 AV-008 Workspace</w:t>
      </w:r>
    </w:p>
    <w:p>
      <w:pPr>
        <w:keepNext/>
      </w:pPr>
      <w:r>
        <w:t>Provide controlled sharing of selected deliverables.</w:t>
      </w:r>
    </w:p>
    <w:p>
      <w:pPr>
        <w:keepNext/>
      </w:pPr>
      <w:r>
        <w:t>Response: Partially meets. Share selected files through authorized project membership, with separate approval for any externally published artifact.</w:t>
      </w:r>
    </w:p>
    <w:p>
      <w:pPr>
        <w:keepNext/>
      </w:pPr>
      <w:r>
        <w:t>Conditions and boundaries: Public application links are excluded. Expiring file-link and authentication options are not documented; use project grants and controlled export.</w:t>
      </w:r>
    </w:p>
    <w:p>
      <w:pPr>
        <w:keepNext/>
      </w:pPr>
      <w:r>
        <w:t>Verification: Share one file and describe expiry, revocation and authentication options, including limitations.</w:t>
      </w:r>
    </w:p>
    <w:p>
      <w:pPr>
        <w:keepNext w:val="0"/>
      </w:pPr>
      <w:r>
        <w:t>Evidence: Noumi_Product_Capabilities.md v1.1, CAP-030, CAP-042.</w:t>
      </w:r>
    </w:p>
    <w:p>
      <w:pPr>
        <w:pStyle w:val="Heading2"/>
        <w:keepNext/>
      </w:pPr>
      <w:r>
        <w:t>2.9 AV-009 Execution</w:t>
      </w:r>
    </w:p>
    <w:p>
      <w:pPr>
        <w:keepNext/>
      </w:pPr>
      <w:r>
        <w:t>Expose an actionable task plan and progress for a multistep response workflow.</w:t>
      </w:r>
    </w:p>
    <w:p>
      <w:pPr>
        <w:keepNext/>
      </w:pPr>
      <w:r>
        <w:t>Response: Meets. Show inputs, planned steps, review points, progress and output location for a multistep extraction task.</w:t>
      </w:r>
    </w:p>
    <w:p>
      <w:pPr>
        <w:keepNext/>
      </w:pPr>
      <w:r>
        <w:t>Conditions and boundaries: A plan does not guarantee completion time; missing inputs remain visible.</w:t>
      </w:r>
    </w:p>
    <w:p>
      <w:pPr>
        <w:keepNext/>
      </w:pPr>
      <w:r>
        <w:t>Verification: Run a requirement extraction task and inspect completed steps, outstanding work and output location.</w:t>
      </w:r>
    </w:p>
    <w:p>
      <w:pPr>
        <w:keepNext w:val="0"/>
      </w:pPr>
      <w:r>
        <w:t>Evidence: Noumi_Product_Capabilities.md v1.1, CAP-013, CAP-017.</w:t>
      </w:r>
    </w:p>
    <w:p>
      <w:pPr>
        <w:pStyle w:val="Heading2"/>
        <w:keepNext/>
      </w:pPr>
      <w:r>
        <w:t>2.10 AV-010 Execution</w:t>
      </w:r>
    </w:p>
    <w:p>
      <w:pPr>
        <w:keepNext/>
      </w:pPr>
      <w:r>
        <w:t>Require confirmation before sending external messages or making material external changes.</w:t>
      </w:r>
    </w:p>
    <w:p>
      <w:pPr>
        <w:keepNext/>
      </w:pPr>
      <w:r>
        <w:t>Response: Meets with configuration. Prepare external messages or changes for review, show target and proposed content, and obtain explicit authorization before executing a supported write.</w:t>
      </w:r>
    </w:p>
    <w:p>
      <w:pPr>
        <w:keepNext/>
      </w:pPr>
      <w:r>
        <w:t>Conditions and boundaries: Reading permission does not authorize sending; already completed external actions are not undone by interruption.</w:t>
      </w:r>
    </w:p>
    <w:p>
      <w:pPr>
        <w:keepNext/>
      </w:pPr>
      <w:r>
        <w:t>Verification: Attempt an external send and show the human authorization step before execution.</w:t>
      </w:r>
    </w:p>
    <w:p>
      <w:pPr>
        <w:keepNext w:val="0"/>
      </w:pPr>
      <w:r>
        <w:t>Evidence: Noumi_Product_Capabilities.md v1.1, CAP-036; AsterVale_Official_QA.pdf Addendum 01, Q27.</w:t>
      </w:r>
    </w:p>
    <w:p>
      <w:pPr>
        <w:pStyle w:val="Heading2"/>
        <w:keepNext/>
      </w:pPr>
      <w:r>
        <w:t>2.11 AV-011 Execution</w:t>
      </w:r>
    </w:p>
    <w:p>
      <w:pPr>
        <w:keepNext/>
      </w:pPr>
      <w:r>
        <w:t>Stop an unauthorized tool operation and explain the access required.</w:t>
      </w:r>
    </w:p>
    <w:p>
      <w:pPr>
        <w:keepNext/>
      </w:pPr>
      <w:r>
        <w:t>Response: Meets. Block a connector read lacking provider access, identify the missing scope and resume only after the owner authorizes access.</w:t>
      </w:r>
    </w:p>
    <w:p>
      <w:pPr>
        <w:keepNext/>
      </w:pPr>
      <w:r>
        <w:t>Conditions and boundaries: The customer supplies credentials and licenses; retries of writes need duplicate checks.</w:t>
      </w:r>
    </w:p>
    <w:p>
      <w:pPr>
        <w:keepNext/>
      </w:pPr>
      <w:r>
        <w:t>Verification: Use an account lacking repository access and show the blocked action and recovery steps.</w:t>
      </w:r>
    </w:p>
    <w:p>
      <w:pPr>
        <w:keepNext w:val="0"/>
      </w:pPr>
      <w:r>
        <w:t>Evidence: Noumi_Product_Capabilities.md v1.1, CAP-018, CAP-035.</w:t>
      </w:r>
    </w:p>
    <w:p>
      <w:pPr>
        <w:pStyle w:val="Heading2"/>
        <w:keepNext/>
      </w:pPr>
      <w:r>
        <w:t>2.12 AV-012 Execution</w:t>
      </w:r>
    </w:p>
    <w:p>
      <w:pPr>
        <w:keepNext/>
      </w:pPr>
      <w:r>
        <w:t>Continue long tasks after the user closes the browser.</w:t>
      </w:r>
    </w:p>
    <w:p>
      <w:pPr>
        <w:keepNext/>
      </w:pPr>
      <w:r>
        <w:t>Response: Meets. Continue an authorized hosted task after the browser closes and retain its completion or error state for reconnection.</w:t>
      </w:r>
    </w:p>
    <w:p>
      <w:pPr>
        <w:keepNext/>
      </w:pPr>
      <w:r>
        <w:t>Conditions and boundaries: Approvals, exhausted credits, capacity limits and external failures can pause work.</w:t>
      </w:r>
    </w:p>
    <w:p>
      <w:pPr>
        <w:keepNext/>
      </w:pPr>
      <w:r>
        <w:t>Verification: Close the session during an agreed task and inspect the retained completion or error state.</w:t>
      </w:r>
    </w:p>
    <w:p>
      <w:pPr>
        <w:keepNext w:val="0"/>
      </w:pPr>
      <w:r>
        <w:t>Evidence: Noumi_Product_Capabilities.md v1.1, CAP-015.</w:t>
      </w:r>
    </w:p>
    <w:p>
      <w:pPr>
        <w:pStyle w:val="Heading2"/>
        <w:keepNext/>
      </w:pPr>
      <w:r>
        <w:t>2.13 AV-013 Execution</w:t>
      </w:r>
    </w:p>
    <w:p>
      <w:pPr>
        <w:keepNext/>
      </w:pPr>
      <w:r>
        <w:t>Allow a user to stop or redirect an active task.</w:t>
      </w:r>
    </w:p>
    <w:p>
      <w:pPr>
        <w:keepNext/>
      </w:pPr>
      <w:r>
        <w:t>Response: Meets. Stop an active draft, change the instruction and inspect the next saved revision.</w:t>
      </w:r>
    </w:p>
    <w:p>
      <w:pPr>
        <w:keepNext/>
      </w:pPr>
      <w:r>
        <w:t>Conditions and boundaries: Interruption does not retract completed external actions.</w:t>
      </w:r>
    </w:p>
    <w:p>
      <w:pPr>
        <w:keepNext/>
      </w:pPr>
      <w:r>
        <w:t>Verification: Interrupt a draft, change a requirement and inspect the revised output.</w:t>
      </w:r>
    </w:p>
    <w:p>
      <w:pPr>
        <w:keepNext w:val="0"/>
      </w:pPr>
      <w:r>
        <w:t>Evidence: Noumi_Product_Capabilities.md v1.1, CAP-014.</w:t>
      </w:r>
    </w:p>
    <w:p>
      <w:pPr>
        <w:pStyle w:val="Heading2"/>
        <w:keepNext/>
      </w:pPr>
      <w:r>
        <w:t>2.14 AV-014 Execution</w:t>
      </w:r>
    </w:p>
    <w:p>
      <w:pPr>
        <w:keepNext/>
      </w:pPr>
      <w:r>
        <w:t>Run independent engagement tasks concurrently with a documented practical limit.</w:t>
      </w:r>
    </w:p>
    <w:p>
      <w:pPr>
        <w:keepNext/>
      </w:pPr>
      <w:r>
        <w:t>Response: Meets. Run independent tasks within three active tasks per member and twelve per organization; queue additional work.</w:t>
      </w:r>
    </w:p>
    <w:p>
      <w:pPr>
        <w:keepNext/>
      </w:pPr>
      <w:r>
        <w:t>Conditions and boundaries: No guaranteed completion latency; avoid concurrent edits to the same artifact.</w:t>
      </w:r>
    </w:p>
    <w:p>
      <w:pPr>
        <w:keepNext/>
      </w:pPr>
      <w:r>
        <w:t>Verification: Run the agreed concurrency test and report queueing, duration and failure behavior.</w:t>
      </w:r>
    </w:p>
    <w:p>
      <w:pPr>
        <w:keepNext w:val="0"/>
      </w:pPr>
      <w:r>
        <w:t>Evidence: Noumi_Product_Capabilities.md v1.1, CAP-016.</w:t>
      </w:r>
    </w:p>
    <w:p>
      <w:pPr>
        <w:pStyle w:val="Heading2"/>
        <w:keepNext/>
      </w:pPr>
      <w:r>
        <w:t>2.15 AV-015 Execution</w:t>
      </w:r>
    </w:p>
    <w:p>
      <w:pPr>
        <w:keepNext/>
      </w:pPr>
      <w:r>
        <w:t>Provide scheduled execution and failure notifications.</w:t>
      </w:r>
    </w:p>
    <w:p>
      <w:pPr>
        <w:keepNext/>
      </w:pPr>
      <w:r>
        <w:t>Response: Partially meets. Configure a recurring task with an owner, named inputs, output destination and trial execution. Inspect retained failure state and recovery action.</w:t>
      </w:r>
    </w:p>
    <w:p>
      <w:pPr>
        <w:keepNext/>
      </w:pPr>
      <w:r>
        <w:t>Conditions and boundaries: Failure-notification channel and delivery behavior are not specified in current documentation and require Product confirmation.</w:t>
      </w:r>
    </w:p>
    <w:p>
      <w:pPr>
        <w:keepNext/>
      </w:pPr>
      <w:r>
        <w:t>Verification: Create a schedule, run a controlled failure and inspect owner notification and retained output.</w:t>
      </w:r>
    </w:p>
    <w:p>
      <w:pPr>
        <w:keepNext w:val="0"/>
      </w:pPr>
      <w:r>
        <w:t>Evidence: Noumi_Product_Capabilities.md v1.1, CAP-033, CAP-018.</w:t>
      </w:r>
    </w:p>
    <w:p>
      <w:pPr>
        <w:pStyle w:val="Heading2"/>
        <w:keepNext/>
      </w:pPr>
      <w:r>
        <w:t>2.16 AV-016 Execution</w:t>
      </w:r>
    </w:p>
    <w:p>
      <w:pPr>
        <w:keepNext/>
      </w:pPr>
      <w:r>
        <w:t>Record tool actions and artifact versions sufficient to reconstruct a material change.</w:t>
      </w:r>
    </w:p>
    <w:p>
      <w:pPr>
        <w:keepNext/>
      </w:pPr>
      <w:r>
        <w:t>Response: Meets. Trace a material change to task milestones, recorded tool actions, source version and retained artifact revision; export available audit events.</w:t>
      </w:r>
    </w:p>
    <w:p>
      <w:pPr>
        <w:keepNext/>
      </w:pPr>
      <w:r>
        <w:t>Conditions and boundaries: Audit events retained 180 days; this is not an immutable forensic record of every external system.</w:t>
      </w:r>
    </w:p>
    <w:p>
      <w:pPr>
        <w:keepNext/>
      </w:pPr>
      <w:r>
        <w:t>Verification: Trace a changed value to its task, action time and input artifact.</w:t>
      </w:r>
    </w:p>
    <w:p>
      <w:pPr>
        <w:keepNext w:val="0"/>
      </w:pPr>
      <w:r>
        <w:t>Evidence: Noumi_Product_Capabilities.md v1.1, CAP-017, CAP-019, CAP-039.</w:t>
      </w:r>
    </w:p>
    <w:p>
      <w:pPr>
        <w:pStyle w:val="Heading2"/>
        <w:keepNext/>
      </w:pPr>
      <w:r>
        <w:t>2.17 AV-017 Knowledge</w:t>
      </w:r>
    </w:p>
    <w:p>
      <w:pPr>
        <w:keepNext/>
      </w:pPr>
      <w:r>
        <w:t>Scope persistent project context to the authorized engagement.</w:t>
      </w:r>
    </w:p>
    <w:p>
      <w:pPr>
        <w:keepNext/>
      </w:pPr>
      <w:r>
        <w:t>Response: Meets. Store engagement context within its authorized project and test that it is not retrieved from an unrelated project.</w:t>
      </w:r>
    </w:p>
    <w:p>
      <w:pPr>
        <w:keepNext/>
      </w:pPr>
      <w:r>
        <w:t>Conditions and boundaries: Confidential client facts must not become general personal preferences.</w:t>
      </w:r>
    </w:p>
    <w:p>
      <w:pPr>
        <w:keepNext/>
      </w:pPr>
      <w:r>
        <w:t>Verification: Teach an engagement-specific rule and verify it is absent from an unrelated engagement.</w:t>
      </w:r>
    </w:p>
    <w:p>
      <w:pPr>
        <w:keepNext w:val="0"/>
      </w:pPr>
      <w:r>
        <w:t>Evidence: Noumi_Product_Capabilities.md v1.1, CAP-003, CAP-021; AsterVale_Official_QA.pdf Addendum 01, Q10.</w:t>
      </w:r>
    </w:p>
    <w:p>
      <w:pPr>
        <w:pStyle w:val="Heading2"/>
        <w:keepNext/>
      </w:pPr>
      <w:r>
        <w:t>2.18 AV-018 Knowledge</w:t>
      </w:r>
    </w:p>
    <w:p>
      <w:pPr>
        <w:keepNext/>
      </w:pPr>
      <w:r>
        <w:t>Give users a way to inspect, correct and delete saved preferences or project memory.</w:t>
      </w:r>
    </w:p>
    <w:p>
      <w:pPr>
        <w:keepNext/>
      </w:pPr>
      <w:r>
        <w:t>Response: Meets. Inspect the saved rule, its source and scope; correct or delete it, then test a new task. Users may disable memory.</w:t>
      </w:r>
    </w:p>
    <w:p>
      <w:pPr>
        <w:keepNext/>
      </w:pPr>
      <w:r>
        <w:t>Conditions and boundaries: Deleting memory does not erase source documents or historical conversations.</w:t>
      </w:r>
    </w:p>
    <w:p>
      <w:pPr>
        <w:keepNext/>
      </w:pPr>
      <w:r>
        <w:t>Verification: Create, edit and delete one saved rule and confirm subsequent behavior.</w:t>
      </w:r>
    </w:p>
    <w:p>
      <w:pPr>
        <w:keepNext w:val="0"/>
      </w:pPr>
      <w:r>
        <w:t>Evidence: Noumi_Product_Capabilities.md v1.1, CAP-020, CAP-022; AsterVale_Official_QA.pdf Addendum 01, Q10.</w:t>
      </w:r>
    </w:p>
    <w:p>
      <w:pPr>
        <w:pStyle w:val="Heading2"/>
        <w:keepNext/>
      </w:pPr>
      <w:r>
        <w:t>2.19 AV-019 Knowledge</w:t>
      </w:r>
    </w:p>
    <w:p>
      <w:pPr>
        <w:keepNext/>
      </w:pPr>
      <w:r>
        <w:t>Apply current approved project documents ahead of contradictory older memory.</w:t>
      </w:r>
    </w:p>
    <w:p>
      <w:pPr>
        <w:keepNext/>
      </w:pPr>
      <w:r>
        <w:t>Response: Meets. Retrieve the current approved source at task start, prefer it to contradictory older memory, and correct the stale rule.</w:t>
      </w:r>
    </w:p>
    <w:p>
      <w:pPr>
        <w:keepNext/>
      </w:pPr>
      <w:r>
        <w:t>Conditions and boundaries: The owner must identify effective source versions; retrieval alone does not determine contract precedence.</w:t>
      </w:r>
    </w:p>
    <w:p>
      <w:pPr>
        <w:keepNext/>
      </w:pPr>
      <w:r>
        <w:t>Verification: Provide a superseding price sheet and verify the task uses the new version.</w:t>
      </w:r>
    </w:p>
    <w:p>
      <w:pPr>
        <w:keepNext w:val="0"/>
      </w:pPr>
      <w:r>
        <w:t>Evidence: Noumi_Product_Capabilities.md v1.1, CAP-021, CAP-022; AsterVale_Official_QA.pdf Addendum 01, Q10.</w:t>
      </w:r>
    </w:p>
    <w:p>
      <w:pPr>
        <w:pStyle w:val="Heading2"/>
        <w:keepNext/>
      </w:pPr>
      <w:r>
        <w:t>2.20 AV-020 Knowledge</w:t>
      </w:r>
    </w:p>
    <w:p>
      <w:pPr>
        <w:keepNext/>
      </w:pPr>
      <w:r>
        <w:t>Package a repeatable proposal workflow with inputs, steps and output checks.</w:t>
      </w:r>
    </w:p>
    <w:p>
      <w:pPr>
        <w:keepNext/>
      </w:pPr>
      <w:r>
        <w:t>Response: Meets with configuration. Configure a reusable proposal Skill with required inputs, steps, missing-input handling and output checks; approve and test on a second document set.</w:t>
      </w:r>
    </w:p>
    <w:p>
      <w:pPr>
        <w:keepNext/>
      </w:pPr>
      <w:r>
        <w:t>Conditions and boundaries: Owner approval activates the formal method; the Skill supplies neither credentials nor missing tools.</w:t>
      </w:r>
    </w:p>
    <w:p>
      <w:pPr>
        <w:keepNext/>
      </w:pPr>
      <w:r>
        <w:t>Verification: Execute the same configured workflow against two different document sets.</w:t>
      </w:r>
    </w:p>
    <w:p>
      <w:pPr>
        <w:keepNext w:val="0"/>
      </w:pPr>
      <w:r>
        <w:t>Evidence: Noumi_Product_Capabilities.md v1.1, CAP-023, CAP-024, CAP-025; AsterVale_Official_QA.pdf Addendum 01, Q10.</w:t>
      </w:r>
    </w:p>
    <w:p>
      <w:pPr>
        <w:pStyle w:val="Heading2"/>
        <w:keepNext/>
      </w:pPr>
      <w:r>
        <w:t>2.21 AV-021 Knowledge</w:t>
      </w:r>
    </w:p>
    <w:p>
      <w:pPr>
        <w:keepNext/>
      </w:pPr>
      <w:r>
        <w:t>Limit reusable workflows and external tools to approved projects or groups.</w:t>
      </w:r>
    </w:p>
    <w:p>
      <w:pPr>
        <w:keepNext/>
      </w:pPr>
      <w:r>
        <w:t>Response: Meets with configuration. Assign the approved Skill to permitted projects and members, then test access from another project.</w:t>
      </w:r>
    </w:p>
    <w:p>
      <w:pPr>
        <w:keepNext/>
      </w:pPr>
      <w:r>
        <w:t>Conditions and boundaries: Skill scope cannot enlarge the executing user's data or connector rights.</w:t>
      </w:r>
    </w:p>
    <w:p>
      <w:pPr>
        <w:keepNext/>
      </w:pPr>
      <w:r>
        <w:t>Verification: Assign an approved workflow to one project and test use from another.</w:t>
      </w:r>
    </w:p>
    <w:p>
      <w:pPr>
        <w:keepNext w:val="0"/>
      </w:pPr>
      <w:r>
        <w:t>Evidence: Noumi_Product_Capabilities.md v1.1, CAP-026, CAP-027; AsterVale_Official_QA.pdf Addendum 01, Q10.</w:t>
      </w:r>
    </w:p>
    <w:p>
      <w:pPr>
        <w:pStyle w:val="Heading2"/>
        <w:keepNext/>
      </w:pPr>
      <w:r>
        <w:t>2.22 AV-022 Knowledge</w:t>
      </w:r>
    </w:p>
    <w:p>
      <w:pPr>
        <w:keepNext/>
      </w:pPr>
      <w:r>
        <w:t>Expose the source and scope of learned workflow changes before adoption.</w:t>
      </w:r>
    </w:p>
    <w:p>
      <w:pPr>
        <w:keepNext/>
      </w:pPr>
      <w:r>
        <w:t>Response: Meets. Show the source interaction, wording, scope and state of a learning record. Uncertain inferred rules remain proposals until confirmed.</w:t>
      </w:r>
    </w:p>
    <w:p>
      <w:pPr>
        <w:keepNext/>
      </w:pPr>
      <w:r>
        <w:t>Conditions and boundaries: One-time exceptions do not silently replace durable preferences or approve a new shared Skill.</w:t>
      </w:r>
    </w:p>
    <w:p>
      <w:pPr>
        <w:keepNext/>
      </w:pPr>
      <w:r>
        <w:t>Verification: Correct an output and inspect the proposed rule, scope and approval control.</w:t>
      </w:r>
    </w:p>
    <w:p>
      <w:pPr>
        <w:keepNext w:val="0"/>
      </w:pPr>
      <w:r>
        <w:t>Evidence: Noumi_Product_Capabilities.md v1.1, CAP-020, CAP-022, CAP-025; AsterVale_Official_QA.pdf Addendum 01, Q10.</w:t>
      </w:r>
    </w:p>
    <w:p>
      <w:pPr>
        <w:pStyle w:val="Heading2"/>
        <w:keepNext/>
      </w:pPr>
      <w:r>
        <w:t>2.23 AV-023 Administration</w:t>
      </w:r>
    </w:p>
    <w:p>
      <w:pPr>
        <w:keepNext/>
      </w:pPr>
      <w:r>
        <w:t>Separate enterprise administration from project content access.</w:t>
      </w:r>
    </w:p>
    <w:p>
      <w:pPr>
        <w:keepNext/>
      </w:pPr>
      <w:r>
        <w:t>Response: Meets. Use Owner, Admin and Member accounts to demonstrate administration boundaries and content access separately.</w:t>
      </w:r>
    </w:p>
    <w:p>
      <w:pPr>
        <w:keepNext/>
      </w:pPr>
      <w:r>
        <w:t>Conditions and boundaries: Admin identity does not expose private conversation transcripts.</w:t>
      </w:r>
    </w:p>
    <w:p>
      <w:pPr>
        <w:keepNext/>
      </w:pPr>
      <w:r>
        <w:t>Verification: Show owner, administrator and member actions using three test accounts.</w:t>
      </w:r>
    </w:p>
    <w:p>
      <w:pPr>
        <w:keepNext w:val="0"/>
      </w:pPr>
      <w:r>
        <w:t>Evidence: Noumi_Product_Capabilities.md v1.1, CAP-029, CAP-031.</w:t>
      </w:r>
    </w:p>
    <w:p>
      <w:pPr>
        <w:pStyle w:val="Heading2"/>
        <w:keepNext/>
      </w:pPr>
      <w:r>
        <w:t>2.24 AV-024 Administration</w:t>
      </w:r>
    </w:p>
    <w:p>
      <w:pPr>
        <w:keepNext/>
      </w:pPr>
      <w:r>
        <w:t>Support project access by group and direct assignment.</w:t>
      </w:r>
    </w:p>
    <w:p>
      <w:pPr>
        <w:keepNext/>
      </w:pPr>
      <w:r>
        <w:t>Response: Meets. Assign a group and a direct grant; remove the group and check whether the direct grant still permits access.</w:t>
      </w:r>
    </w:p>
    <w:p>
      <w:pPr>
        <w:keepNext/>
      </w:pPr>
      <w:r>
        <w:t>Conditions and boundaries: Grants are additive; removal of one does not revoke all routes.</w:t>
      </w:r>
    </w:p>
    <w:p>
      <w:pPr>
        <w:keepNext/>
      </w:pPr>
      <w:r>
        <w:t>Verification: Add and remove a group grant while preserving a separate direct grant.</w:t>
      </w:r>
    </w:p>
    <w:p>
      <w:pPr>
        <w:keepNext w:val="0"/>
      </w:pPr>
      <w:r>
        <w:t>Evidence: Noumi_Product_Capabilities.md v1.1, CAP-030.</w:t>
      </w:r>
    </w:p>
    <w:p>
      <w:pPr>
        <w:pStyle w:val="Heading2"/>
        <w:keepNext/>
      </w:pPr>
      <w:r>
        <w:t>2.25 AV-025 Administration</w:t>
      </w:r>
    </w:p>
    <w:p>
      <w:pPr>
        <w:keepNext/>
      </w:pPr>
      <w:r>
        <w:t>Support nested organizational groups or document a flat-group alternative.</w:t>
      </w:r>
    </w:p>
    <w:p>
      <w:pPr>
        <w:keepNext/>
      </w:pPr>
      <w:r>
        <w:t>Response: Partially meets. Use documented project role groups and explicit direct membership. Maintain an administrator-controlled mapping from organizational groups to project groups, review it on joiner/mover/leaver changes and test effective grants.</w:t>
      </w:r>
    </w:p>
    <w:p>
      <w:pPr>
        <w:keepNext/>
      </w:pPr>
      <w:r>
        <w:t>Conditions and boundaries: This is a proposed manual flat-group alternative using documented grants, not a claim of nested inheritance or directory synchronization. Customer validation of the mapping process is required.</w:t>
      </w:r>
    </w:p>
    <w:p>
      <w:pPr>
        <w:keepNext/>
      </w:pPr>
      <w:r>
        <w:t>Verification: Demonstrate nested inheritance or provide the manual mapping and maintenance process.</w:t>
      </w:r>
    </w:p>
    <w:p>
      <w:pPr>
        <w:keepNext w:val="0"/>
      </w:pPr>
      <w:r>
        <w:t>Evidence: Noumi_Product_Capabilities.md v1.1, CAP-030.</w:t>
      </w:r>
    </w:p>
    <w:p>
      <w:pPr>
        <w:pStyle w:val="Heading2"/>
        <w:keepNext/>
      </w:pPr>
      <w:r>
        <w:t>2.26 AV-026 Administration</w:t>
      </w:r>
    </w:p>
    <w:p>
      <w:pPr>
        <w:keepNext/>
      </w:pPr>
      <w:r>
        <w:t>Allow a compliance reviewer to inspect all employee conversations from a central console.</w:t>
      </w:r>
    </w:p>
    <w:p>
      <w:pPr>
        <w:keepNext/>
      </w:pPr>
      <w:r>
        <w:t>Response: Partially meets. Provide authorized shared project evidence and security or administration event exports for compliance review.</w:t>
      </w:r>
    </w:p>
    <w:p>
      <w:pPr>
        <w:keepNext/>
      </w:pPr>
      <w:r>
        <w:t>Conditions and boundaries: A central administrator cannot automatically inspect all private conversations; business-relevant transcripts require authorized user export.</w:t>
      </w:r>
    </w:p>
    <w:p>
      <w:pPr>
        <w:keepNext/>
      </w:pPr>
      <w:r>
        <w:t>Verification: Demonstrate reviewer access or explain the privacy boundary and alternative evidence workflow.</w:t>
      </w:r>
    </w:p>
    <w:p>
      <w:pPr>
        <w:keepNext w:val="0"/>
      </w:pPr>
      <w:r>
        <w:t>Evidence: Noumi_Product_Capabilities.md v1.1, CAP-031.</w:t>
      </w:r>
    </w:p>
    <w:p>
      <w:pPr>
        <w:pStyle w:val="Heading2"/>
        <w:keepNext/>
      </w:pPr>
      <w:r>
        <w:t>2.27 AV-027 Administration</w:t>
      </w:r>
    </w:p>
    <w:p>
      <w:pPr>
        <w:keepNext/>
      </w:pPr>
      <w:r>
        <w:t>Define offboarding behavior for documents, private conversations, seats and unused credits.</w:t>
      </w:r>
    </w:p>
    <w:p>
      <w:pPr>
        <w:keepNext/>
      </w:pPr>
      <w:r>
        <w:t>Response: Meets. Inventory projects, outputs, schedules and tokens; transfer organization artifacts, export permitted private material, pause schedules, revoke connectors, suspend and remove grants.</w:t>
      </w:r>
    </w:p>
    <w:p>
      <w:pPr>
        <w:keepNext/>
      </w:pPr>
      <w:r>
        <w:t>Conditions and boundaries: Private transcripts do not automatically transfer. Vacated seats can be reassigned; unused organization credits remain pooled until expiry without a personal refund.</w:t>
      </w:r>
    </w:p>
    <w:p>
      <w:pPr>
        <w:keepNext/>
      </w:pPr>
      <w:r>
        <w:t>Verification: Provide a step-by-step runbook including irreversible deletion, transfer ownership and pre-removal export.</w:t>
      </w:r>
    </w:p>
    <w:p>
      <w:pPr>
        <w:keepNext w:val="0"/>
      </w:pPr>
      <w:r>
        <w:t>Evidence: Noumi_Product_Capabilities.md v1.1, CAP-029.</w:t>
      </w:r>
    </w:p>
    <w:p>
      <w:pPr>
        <w:pStyle w:val="Heading2"/>
        <w:keepNext/>
      </w:pPr>
      <w:r>
        <w:t>2.28 AV-028 Administration</w:t>
      </w:r>
    </w:p>
    <w:p>
      <w:pPr>
        <w:keepNext/>
      </w:pPr>
      <w:r>
        <w:t>Provide automated member and seat inventory export.</w:t>
      </w:r>
    </w:p>
    <w:p>
      <w:pPr>
        <w:keepNext/>
      </w:pPr>
      <w:r>
        <w:t>Response: Partially meets. Use the administration view to review members and seats and maintain a controlled inventory for reconciliation.</w:t>
      </w:r>
    </w:p>
    <w:p>
      <w:pPr>
        <w:keepNext/>
      </w:pPr>
      <w:r>
        <w:t>Conditions and boundaries: Automated inventory export is not documented; Product must verify the current manual extraction method and no delivery date is committed.</w:t>
      </w:r>
    </w:p>
    <w:p>
      <w:pPr>
        <w:keepNext/>
      </w:pPr>
      <w:r>
        <w:t>Verification: Export an inventory or identify the current manual method and committed delivery status.</w:t>
      </w:r>
    </w:p>
    <w:p>
      <w:pPr>
        <w:keepNext w:val="0"/>
      </w:pPr>
      <w:r>
        <w:t>Evidence: Noumi_Product_Capabilities.md v1.1, CAP-029, CAP-032.</w:t>
      </w:r>
    </w:p>
    <w:p>
      <w:pPr>
        <w:pStyle w:val="Heading2"/>
        <w:keepNext/>
      </w:pPr>
      <w:r>
        <w:t>2.29 AV-029 Administration</w:t>
      </w:r>
    </w:p>
    <w:p>
      <w:pPr>
        <w:keepNext/>
      </w:pPr>
      <w:r>
        <w:t>Provide usage reporting by member with credit consumption and remaining allowance.</w:t>
      </w:r>
    </w:p>
    <w:p>
      <w:pPr>
        <w:keepNext/>
      </w:pPr>
      <w:r>
        <w:t>Response: Meets. Reconcile a measured task charge against member consumption and the organization pool after metering updates.</w:t>
      </w:r>
    </w:p>
    <w:p>
      <w:pPr>
        <w:keepNext/>
      </w:pPr>
      <w:r>
        <w:t>Conditions and boundaries: Credits measure usage, not guaranteed documents; reconcile discrepancies before invoice reliance.</w:t>
      </w:r>
    </w:p>
    <w:p>
      <w:pPr>
        <w:keepNext/>
      </w:pPr>
      <w:r>
        <w:t>Verification: Reconcile a task charge to the member and enterprise usage view.</w:t>
      </w:r>
    </w:p>
    <w:p>
      <w:pPr>
        <w:keepNext w:val="0"/>
      </w:pPr>
      <w:r>
        <w:t>Evidence: Noumi_Product_Capabilities.md v1.1, CAP-032.</w:t>
      </w:r>
    </w:p>
    <w:p>
      <w:pPr>
        <w:pStyle w:val="Heading2"/>
        <w:keepNext/>
      </w:pPr>
      <w:r>
        <w:t>2.30 AV-030 Administration</w:t>
      </w:r>
    </w:p>
    <w:p>
      <w:pPr>
        <w:keepNext/>
      </w:pPr>
      <w:r>
        <w:t>State credit reset, transfer, exhaustion and top-up rules in the commercial response.</w:t>
      </w:r>
    </w:p>
    <w:p>
      <w:pPr>
        <w:keepNext/>
      </w:pPr>
      <w:r>
        <w:t>Response: Meets. Pool 300,000 annual Credits per Enterprise seat, reset annually and expire unused balances. Alert administrators at 80% and 95%; halt new paid tasks at 100%.</w:t>
      </w:r>
    </w:p>
    <w:p>
      <w:pPr>
        <w:keepNext/>
      </w:pPr>
      <w:r>
        <w:t>Conditions and boundaries: Written purchaser approval is required for each 250,000-Credit pack at USD 600. Existing saved files and admin access remain available while subscription is active.</w:t>
      </w:r>
    </w:p>
    <w:p>
      <w:pPr>
        <w:keepNext/>
      </w:pPr>
      <w:r>
        <w:t>Verification: Calculate allowance and exhaustion behavior for the quoted mix of seat types.</w:t>
      </w:r>
    </w:p>
    <w:p>
      <w:pPr>
        <w:keepNext w:val="0"/>
      </w:pPr>
      <w:r>
        <w:t>Evidence: Noumi_Product_Capabilities.md v1.1, CAP-032; Noumi_Pricing_and_Service_Scope.xlsx 2026.3, Pricing / Service scope / Purchase rules; AsterVale_Quote.xlsx AV-Q-2026-041 v1.0, Quote / Scope and conditions.</w:t>
      </w:r>
    </w:p>
    <w:p>
      <w:pPr>
        <w:pStyle w:val="Heading2"/>
        <w:keepNext/>
      </w:pPr>
      <w:r>
        <w:t>2.31 AV-031 Integration</w:t>
      </w:r>
    </w:p>
    <w:p>
      <w:pPr>
        <w:keepNext/>
      </w:pPr>
      <w:r>
        <w:t>Support authorized access to Microsoft 365 files and email in the proposed deployment.</w:t>
      </w:r>
    </w:p>
    <w:p>
      <w:pPr>
        <w:keepNext/>
      </w:pPr>
      <w:r>
        <w:t>Response: Meets with configuration. Authorize Microsoft 365 test accounts, read a permitted file and prepare an email draft with minimum scopes.</w:t>
      </w:r>
    </w:p>
    <w:p>
      <w:pPr>
        <w:keepNext/>
      </w:pPr>
      <w:r>
        <w:t>Conditions and boundaries: Customer licenses and administrator consent are required; sending is separately authorized and not part of the evaluation scope.</w:t>
      </w:r>
    </w:p>
    <w:p>
      <w:pPr>
        <w:keepNext/>
      </w:pPr>
      <w:r>
        <w:t>Verification: Use approved test accounts to read a file and draft an email, documenting scopes and limitations.</w:t>
      </w:r>
    </w:p>
    <w:p>
      <w:pPr>
        <w:keepNext w:val="0"/>
      </w:pPr>
      <w:r>
        <w:t>Evidence: Noumi_Product_Capabilities.md v1.1, CAP-035; AsterVale_Official_QA.pdf Addendum 01, Q09, Q27.</w:t>
      </w:r>
    </w:p>
    <w:p>
      <w:pPr>
        <w:pStyle w:val="Heading2"/>
        <w:keepNext/>
      </w:pPr>
      <w:r>
        <w:t>2.32 AV-032 Integration</w:t>
      </w:r>
    </w:p>
    <w:p>
      <w:pPr>
        <w:keepNext/>
      </w:pPr>
      <w:r>
        <w:t>Separate permission to read external data from authorization to publish or send.</w:t>
      </w:r>
    </w:p>
    <w:p>
      <w:pPr>
        <w:keepNext/>
      </w:pPr>
      <w:r>
        <w:t>Response: Meets with configuration. Demonstrate a permitted read and a separate approval gate for an external write to an enabled destination.</w:t>
      </w:r>
    </w:p>
    <w:p>
      <w:pPr>
        <w:keepNext/>
      </w:pPr>
      <w:r>
        <w:t>Conditions and boundaries: Connector access is not blanket authorization to send, publish or delete.</w:t>
      </w:r>
    </w:p>
    <w:p>
      <w:pPr>
        <w:keepNext/>
      </w:pPr>
      <w:r>
        <w:t>Verification: Read a source successfully, then show the separate control for an external write.</w:t>
      </w:r>
    </w:p>
    <w:p>
      <w:pPr>
        <w:keepNext w:val="0"/>
      </w:pPr>
      <w:r>
        <w:t>Evidence: Noumi_Product_Capabilities.md v1.1, CAP-035, CAP-036; AsterVale_Official_QA.pdf Addendum 01, Q27.</w:t>
      </w:r>
    </w:p>
    <w:p>
      <w:pPr>
        <w:pStyle w:val="Heading2"/>
        <w:keepNext/>
      </w:pPr>
      <w:r>
        <w:t>2.33 AV-033 Integration</w:t>
      </w:r>
    </w:p>
    <w:p>
      <w:pPr>
        <w:keepNext/>
      </w:pPr>
      <w:r>
        <w:t>Extend workflows through a documented API, MCP or command-line integration.</w:t>
      </w:r>
    </w:p>
    <w:p>
      <w:pPr>
        <w:keepNext/>
      </w:pPr>
      <w:r>
        <w:t>Response: Partially meets. A reviewed API or MCP integration can be scoped with authentication, secret storage, timeout handling and operational ownership.</w:t>
      </w:r>
    </w:p>
    <w:p>
      <w:pPr>
        <w:keepNext/>
      </w:pPr>
      <w:r>
        <w:t>Conditions and boundaries: Custom integration requires a separately signed SOW and is not included in the fixed implementation price.</w:t>
      </w:r>
    </w:p>
    <w:p>
      <w:pPr>
        <w:keepNext/>
      </w:pPr>
      <w:r>
        <w:t>Verification: Show an authenticated integration and explain secret storage, operational ownership and failure handling.</w:t>
      </w:r>
    </w:p>
    <w:p>
      <w:pPr>
        <w:keepNext w:val="0"/>
      </w:pPr>
      <w:r>
        <w:t>Evidence: Noumi_Product_Capabilities.md v1.1, CAP-037.</w:t>
      </w:r>
    </w:p>
    <w:p>
      <w:pPr>
        <w:pStyle w:val="Heading2"/>
        <w:keepNext/>
      </w:pPr>
      <w:r>
        <w:t>2.34 AV-034 Integration</w:t>
      </w:r>
    </w:p>
    <w:p>
      <w:pPr>
        <w:keepNext/>
      </w:pPr>
      <w:r>
        <w:t>List each connector, its supported actions, prerequisites and additional charges.</w:t>
      </w:r>
    </w:p>
    <w:p>
      <w:pPr>
        <w:keepNext/>
      </w:pPr>
      <w:r>
        <w:t>Response: Meets. List Microsoft 365 file reads and email drafting as configured scope, separate sends and updates by supported action, and identify custom integrations separately.</w:t>
      </w:r>
    </w:p>
    <w:p>
      <w:pPr>
        <w:keepNext/>
      </w:pPr>
      <w:r>
        <w:t>Conditions and boundaries: Validate licensed account actions before use. No connector marketplace listing alone proves entitlement.</w:t>
      </w:r>
    </w:p>
    <w:p>
      <w:pPr>
        <w:keepNext/>
      </w:pPr>
      <w:r>
        <w:t>Verification: Submit a connector matrix for the proposed scope, identifying unavailable actions.</w:t>
      </w:r>
    </w:p>
    <w:p>
      <w:pPr>
        <w:keepNext w:val="0"/>
      </w:pPr>
      <w:r>
        <w:t>Evidence: Noumi_Product_Capabilities.md v1.1, CAP-035, CAP-036, CAP-037.</w:t>
      </w:r>
    </w:p>
    <w:p>
      <w:pPr>
        <w:pStyle w:val="Heading2"/>
        <w:keepNext/>
      </w:pPr>
      <w:r>
        <w:t>2.35 AV-035 Integration</w:t>
      </w:r>
    </w:p>
    <w:p>
      <w:pPr>
        <w:keepNext/>
      </w:pPr>
      <w:r>
        <w:t>Provide an isolated deployment option with a locally hosted model.</w:t>
      </w:r>
    </w:p>
    <w:p>
      <w:pPr>
        <w:keepNext/>
      </w:pPr>
      <w:r>
        <w:t>Response: Does not meet. Offer the specified managed Singapore cloud service; a separate deployment assessment can define future alternatives.</w:t>
      </w:r>
    </w:p>
    <w:p>
      <w:pPr>
        <w:keepNext/>
      </w:pPr>
      <w:r>
        <w:t>Conditions and boundaries: Fully isolated on-premises operation with a locally hosted foundation model is not included or committed.</w:t>
      </w:r>
    </w:p>
    <w:p>
      <w:pPr>
        <w:keepNext/>
      </w:pPr>
      <w:r>
        <w:t>Verification: Supply architecture and cost dependencies, including compute, network, model and support ownership.</w:t>
      </w:r>
    </w:p>
    <w:p>
      <w:pPr>
        <w:keepNext w:val="0"/>
      </w:pPr>
      <w:r>
        <w:t>Evidence: Noumi_Product_Capabilities.md v1.1, CAP-043; AsterVale_Official_QA.pdf Addendum 01, Q08.</w:t>
      </w:r>
    </w:p>
    <w:p>
      <w:pPr>
        <w:pStyle w:val="Heading2"/>
        <w:keepNext/>
      </w:pPr>
      <w:r>
        <w:t>2.36 AV-036 Security</w:t>
      </w:r>
    </w:p>
    <w:p>
      <w:pPr>
        <w:keepNext/>
      </w:pPr>
      <w:r>
        <w:t>Document tenant, project and user isolation controls and their test evidence.</w:t>
      </w:r>
    </w:p>
    <w:p>
      <w:pPr>
        <w:keepNext/>
      </w:pPr>
      <w:r>
        <w:t>Response: Meets with configuration. Test organization and project authorization, connector scope and negative retrieval separately; retain actor, input revision, observed denial and reviewer.</w:t>
      </w:r>
    </w:p>
    <w:p>
      <w:pPr>
        <w:keepNext/>
      </w:pPr>
      <w:r>
        <w:t>Conditions and boundaries: Control design is documented; customer-specific test results must be produced during acceptance.</w:t>
      </w:r>
    </w:p>
    <w:p>
      <w:pPr>
        <w:keepNext/>
      </w:pPr>
      <w:r>
        <w:t>Verification: Provide the isolation design and evidence for a denied cross-project request.</w:t>
      </w:r>
    </w:p>
    <w:p>
      <w:pPr>
        <w:keepNext w:val="0"/>
      </w:pPr>
      <w:r>
        <w:t>Evidence: Noumi_Product_Capabilities.md v1.1, CAP-001, CAP-030, CAP-039; Noumi_Security_and_Data_Handling.md v1.0 §§3–4.</w:t>
      </w:r>
    </w:p>
    <w:p>
      <w:pPr>
        <w:pStyle w:val="Heading2"/>
        <w:keepNext/>
      </w:pPr>
      <w:r>
        <w:t>2.37 AV-037 Security</w:t>
      </w:r>
    </w:p>
    <w:p>
      <w:pPr>
        <w:keepNext/>
      </w:pPr>
      <w:r>
        <w:t>Describe encryption in transit and at rest, key ownership and backup controls.</w:t>
      </w:r>
    </w:p>
    <w:p>
      <w:pPr>
        <w:keepNext/>
      </w:pPr>
      <w:r>
        <w:t>Response: Meets. Use TLS 1.2 or later in transit, AES-256 at rest and encrypted managed backups with controlled infrastructure keys.</w:t>
      </w:r>
    </w:p>
    <w:p>
      <w:pPr>
        <w:keepNext/>
      </w:pPr>
      <w:r>
        <w:t>Conditions and boundaries: No customer-managed key or end-to-end encryption option is included.</w:t>
      </w:r>
    </w:p>
    <w:p>
      <w:pPr>
        <w:keepNext/>
      </w:pPr>
      <w:r>
        <w:t>Verification: Submit the technical control description and identify any customer-managed components.</w:t>
      </w:r>
    </w:p>
    <w:p>
      <w:pPr>
        <w:keepNext w:val="0"/>
      </w:pPr>
      <w:r>
        <w:t>Evidence: Noumi_Product_Capabilities.md v1.1, CAP-041; Noumi_Security_and_Data_Handling.md v1.0 §§5, 8.</w:t>
      </w:r>
    </w:p>
    <w:p>
      <w:pPr>
        <w:pStyle w:val="Heading2"/>
        <w:keepNext/>
      </w:pPr>
      <w:r>
        <w:t>2.38 AV-038 Security</w:t>
      </w:r>
    </w:p>
    <w:p>
      <w:pPr>
        <w:keepNext/>
      </w:pPr>
      <w:r>
        <w:t>Identify data regions, subprocessors and all external model processing paths.</w:t>
      </w:r>
    </w:p>
    <w:p>
      <w:pPr>
        <w:keepNext/>
      </w:pPr>
      <w:r>
        <w:t>Response: Meets. Disclose HarborGrid Singapore hosting and backups, LatticePeak Singapore inference and Singapore Noumi support. Customer Microsoft 365 locations remain customer controlled.</w:t>
      </w:r>
    </w:p>
    <w:p>
      <w:pPr>
        <w:keepNext/>
      </w:pPr>
      <w:r>
        <w:t>Conditions and boundaries: User downloads abroad are customer controlled. Additional model routes or regions need prior approval.</w:t>
      </w:r>
    </w:p>
    <w:p>
      <w:pPr>
        <w:keepNext/>
      </w:pPr>
      <w:r>
        <w:t>Verification: Provide a data-flow map covering uploads, prompts, outputs, telemetry and backups.</w:t>
      </w:r>
    </w:p>
    <w:p>
      <w:pPr>
        <w:keepNext w:val="0"/>
      </w:pPr>
      <w:r>
        <w:t>Evidence: Noumi_Product_Capabilities.md v1.1, CAP-035, CAP-041; Noumi_Security_and_Data_Handling.md v1.0 §§1, 3, 6; AsterVale_Official_QA.pdf Addendum 01, Q13.</w:t>
      </w:r>
    </w:p>
    <w:p>
      <w:pPr>
        <w:pStyle w:val="Heading2"/>
        <w:keepNext/>
      </w:pPr>
      <w:r>
        <w:t>2.39 AV-039 Security</w:t>
      </w:r>
    </w:p>
    <w:p>
      <w:pPr>
        <w:keepNext/>
      </w:pPr>
      <w:r>
        <w:t>State whether customer data is used for model training and the applicable opt-out or restriction.</w:t>
      </w:r>
    </w:p>
    <w:p>
      <w:pPr>
        <w:keepNext/>
      </w:pPr>
      <w:r>
        <w:t>Response: Meets. Restrict customer data to service delivery and security; no use of prompts, outputs or supplied feedback for shared-model training.</w:t>
      </w:r>
    </w:p>
    <w:p>
      <w:pPr>
        <w:keepNext/>
      </w:pPr>
      <w:r>
        <w:t>Conditions and boundaries: Approved inference transmits selected content to LatticePeak; no-training does not mean no external processing.</w:t>
      </w:r>
    </w:p>
    <w:p>
      <w:pPr>
        <w:keepNext/>
      </w:pPr>
      <w:r>
        <w:t>Verification: Provide contractual wording and model-provider conditions for the proposed service.</w:t>
      </w:r>
    </w:p>
    <w:p>
      <w:pPr>
        <w:keepNext w:val="0"/>
      </w:pPr>
      <w:r>
        <w:t>Evidence: Noumi_Product_Capabilities.md v1.1, CAP-012; Noumi_Security_and_Data_Handling.md v1.0 §§6; AsterVale_Official_QA.pdf Addendum 01, Q17.</w:t>
      </w:r>
    </w:p>
    <w:p>
      <w:pPr>
        <w:pStyle w:val="Heading2"/>
        <w:keepNext/>
      </w:pPr>
      <w:r>
        <w:t>2.40 AV-040 Security</w:t>
      </w:r>
    </w:p>
    <w:p>
      <w:pPr>
        <w:keepNext/>
      </w:pPr>
      <w:r>
        <w:t>Document incident notification, escalation contacts and evidence preservation.</w:t>
      </w:r>
    </w:p>
    <w:p>
      <w:pPr>
        <w:keepNext/>
      </w:pPr>
      <w:r>
        <w:t>Response: Meets. Preserve incident evidence and notify within 48 hours after confirming customer-data involvement, with then-available facts, contact and material updates.</w:t>
      </w:r>
    </w:p>
    <w:p>
      <w:pPr>
        <w:keepNext/>
      </w:pPr>
      <w:r>
        <w:t>Conditions and boundaries: Customer draft requires 24 hours from awareness; propose a clause-specific deviation, not unqualified acceptance.</w:t>
      </w:r>
    </w:p>
    <w:p>
      <w:pPr>
        <w:keepNext/>
      </w:pPr>
      <w:r>
        <w:t>Verification: Submit the incident procedure and proposed contractual notification timeline.</w:t>
      </w:r>
    </w:p>
    <w:p>
      <w:pPr>
        <w:keepNext w:val="0"/>
      </w:pPr>
      <w:r>
        <w:t>Evidence: Noumi_Product_Capabilities.md v1.1, CAP-018, CAP-039; Noumi_Security_and_Data_Handling.md v1.0 §§10; AsterVale_Official_QA.pdf Addendum 01, Q14.</w:t>
      </w:r>
    </w:p>
    <w:p>
      <w:pPr>
        <w:pStyle w:val="Heading2"/>
        <w:keepNext/>
      </w:pPr>
      <w:r>
        <w:t>2.41 AV-041 Security</w:t>
      </w:r>
    </w:p>
    <w:p>
      <w:pPr>
        <w:keepNext/>
      </w:pPr>
      <w:r>
        <w:t>Specify export, deletion and backup expiry at contract termination.</w:t>
      </w:r>
    </w:p>
    <w:p>
      <w:pPr>
        <w:keepNext/>
      </w:pPr>
      <w:r>
        <w:t>Response: Meets. Provide native artifact export during 30 days after termination, delete primary data within the next 30 days and expire backups within a further 35 days.</w:t>
      </w:r>
    </w:p>
    <w:p>
      <w:pPr>
        <w:keepNext/>
      </w:pPr>
      <w:r>
        <w:t>Conditions and boundaries: Audit logs retain 180 days; restricted lawful holds may remain. Private conversation export needs authorized handling.</w:t>
      </w:r>
    </w:p>
    <w:p>
      <w:pPr>
        <w:keepNext/>
      </w:pPr>
      <w:r>
        <w:t>Verification: Provide file formats, request steps, timing and residual backup treatment.</w:t>
      </w:r>
    </w:p>
    <w:p>
      <w:pPr>
        <w:keepNext w:val="0"/>
      </w:pPr>
      <w:r>
        <w:t>Evidence: Noumi_Product_Capabilities.md v1.1, CAP-019, CAP-039; Noumi_Security_and_Data_Handling.md v1.0 §§7; AsterVale_Official_QA.pdf Addendum 01, Q16.</w:t>
      </w:r>
    </w:p>
    <w:p>
      <w:pPr>
        <w:pStyle w:val="Heading2"/>
        <w:keepNext/>
      </w:pPr>
      <w:r>
        <w:t>2.42 AV-042 Security</w:t>
      </w:r>
    </w:p>
    <w:p>
      <w:pPr>
        <w:keepNext/>
      </w:pPr>
      <w:r>
        <w:t>Provide current independent security assurance reports or clearly state their absence.</w:t>
      </w:r>
    </w:p>
    <w:p>
      <w:pPr>
        <w:keepNext/>
      </w:pPr>
      <w:r>
        <w:t>Response: Meets. State explicitly that no Noumi ISO 27001 certification or SOC 2 report is asserted; offer control descriptions and available test summaries for review.</w:t>
      </w:r>
    </w:p>
    <w:p>
      <w:pPr>
        <w:keepNext/>
      </w:pPr>
      <w:r>
        <w:t>Conditions and boundaries: Alternative evidence is not an independent audit report; no cloud-provider certificate is represented as Noumi certification.</w:t>
      </w:r>
    </w:p>
    <w:p>
      <w:pPr>
        <w:keepNext/>
      </w:pPr>
      <w:r>
        <w:t>Verification: List report scope, validity and access conditions. A policy statement is not an audit certificate.</w:t>
      </w:r>
    </w:p>
    <w:p>
      <w:pPr>
        <w:keepNext w:val="0"/>
      </w:pPr>
      <w:r>
        <w:t>Evidence: Noumi_Product_Capabilities.md v1.1, CAP-046; Noumi_Security_and_Data_Handling.md v1.0 §§9, 12; AsterVale_Official_QA.pdf Addendum 01, Q15.</w:t>
      </w:r>
    </w:p>
    <w:p>
      <w:pPr>
        <w:pStyle w:val="Heading2"/>
        <w:keepNext/>
      </w:pPr>
      <w:r>
        <w:t>2.43 AV-043 Security</w:t>
      </w:r>
    </w:p>
    <w:p>
      <w:pPr>
        <w:keepNext/>
      </w:pPr>
      <w:r>
        <w:t>Support enterprise SSO and automated user provisioning or identify an alternative.</w:t>
      </w:r>
    </w:p>
    <w:p>
      <w:pPr>
        <w:keepNext/>
      </w:pPr>
      <w:r>
        <w:t>Response: Partially meets. Configure one SAML connection and validate login, failed assertions and suspension. Use a documented manual joiner, mover and leaver process.</w:t>
      </w:r>
    </w:p>
    <w:p>
      <w:pPr>
        <w:keepNext/>
      </w:pPr>
      <w:r>
        <w:t>Conditions and boundaries: SCIM is unavailable. SAML authentication does not automate provisioning or group synchronization.</w:t>
      </w:r>
    </w:p>
    <w:p>
      <w:pPr>
        <w:keepNext/>
      </w:pPr>
      <w:r>
        <w:t>Verification: Demonstrate the supported protocol and provisioning lifecycle, or document the manual process.</w:t>
      </w:r>
    </w:p>
    <w:p>
      <w:pPr>
        <w:keepNext w:val="0"/>
      </w:pPr>
      <w:r>
        <w:t>Evidence: Noumi_Product_Capabilities.md v1.1, CAP-038, CAP-045; AsterVale_Official_QA.pdf Addendum 01, Q07.</w:t>
      </w:r>
    </w:p>
    <w:p>
      <w:pPr>
        <w:pStyle w:val="Heading2"/>
        <w:keepNext/>
      </w:pPr>
      <w:r>
        <w:t>2.44 AV-044 Delivery</w:t>
      </w:r>
    </w:p>
    <w:p>
      <w:pPr>
        <w:keepNext/>
      </w:pPr>
      <w:r>
        <w:t>Provide an implementation plan with customer dependencies, owners and acceptance gates.</w:t>
      </w:r>
    </w:p>
    <w:p>
      <w:pPr>
        <w:keepNext/>
      </w:pPr>
      <w:r>
        <w:t>Response: Meets with configuration. Deliver a six-week implementation schedule with milestones, dependencies, owners, test evidence and explicit acceptance decisions.</w:t>
      </w:r>
    </w:p>
    <w:p>
      <w:pPr>
        <w:keepNext/>
      </w:pPr>
      <w:r>
        <w:t>Conditions and boundaries: Customer provides approved files, identity administrator, reviewers and timely access decisions.</w:t>
      </w:r>
    </w:p>
    <w:p>
      <w:pPr>
        <w:keepNext/>
      </w:pPr>
      <w:r>
        <w:t>Verification: Submit milestones from kickoff through production review and identify customer input deadlines.</w:t>
      </w:r>
    </w:p>
    <w:p>
      <w:pPr>
        <w:keepNext w:val="0"/>
      </w:pPr>
      <w:r>
        <w:t>Evidence: Noumi_Product_Capabilities.md v1.1, CAP-013; AsterVale_Official_QA.pdf Addendum 01, Q21, Q22; AsterVale_Quote.xlsx AV-Q-2026-041 v1.0, Quote / Scope and conditions.</w:t>
      </w:r>
    </w:p>
    <w:p>
      <w:pPr>
        <w:pStyle w:val="Heading2"/>
        <w:keepNext/>
      </w:pPr>
      <w:r>
        <w:t>2.45 AV-045 Delivery</w:t>
      </w:r>
    </w:p>
    <w:p>
      <w:pPr>
        <w:keepNext/>
      </w:pPr>
      <w:r>
        <w:t>Configure two agreed advisory workflows and train the nominated administrators.</w:t>
      </w:r>
    </w:p>
    <w:p>
      <w:pPr>
        <w:keepNext/>
      </w:pPr>
      <w:r>
        <w:t>Response: Meets with configuration. Configure proposal preparation and client meeting preparation, one SAML connection and up to 200 selected files; deliver two admin and two end-user sessions for up to 60 users.</w:t>
      </w:r>
    </w:p>
    <w:p>
      <w:pPr>
        <w:keepNext/>
      </w:pPr>
      <w:r>
        <w:t>Conditions and boundaries: Fixed deliverables over six calendar weeks, not a dedicated delivery team. Additional workflows need change control.</w:t>
      </w:r>
    </w:p>
    <w:p>
      <w:pPr>
        <w:keepNext/>
      </w:pPr>
      <w:r>
        <w:t>Verification: Provide scope, session format, handover artifacts and completion criteria.</w:t>
      </w:r>
    </w:p>
    <w:p>
      <w:pPr>
        <w:keepNext w:val="0"/>
      </w:pPr>
      <w:r>
        <w:t>Evidence: Noumi_Product_Capabilities.md v1.1, CAP-023, CAP-038; AsterVale_Official_QA.pdf Addendum 01, Q21; AsterVale_Quote.xlsx AV-Q-2026-041 v1.0, Quote / Scope and conditions.</w:t>
      </w:r>
    </w:p>
    <w:p>
      <w:pPr>
        <w:pStyle w:val="Heading2"/>
        <w:keepNext/>
      </w:pPr>
      <w:r>
        <w:t>2.46 AV-046 Delivery</w:t>
      </w:r>
    </w:p>
    <w:p>
      <w:pPr>
        <w:keepNext/>
      </w:pPr>
      <w:r>
        <w:t>Measure pilot outcomes using customer baseline volumes and reviewer time.</w:t>
      </w:r>
    </w:p>
    <w:p>
      <w:pPr>
        <w:keepNext/>
      </w:pPr>
      <w:r>
        <w:t>Response: Meets with configuration. Measure ten agreed work packages for 12 pilot users, recording preparation time, reviewer time, factual corrections, format rework and adoption.</w:t>
      </w:r>
    </w:p>
    <w:p>
      <w:pPr>
        <w:keepNext/>
      </w:pPr>
      <w:r>
        <w:t>Conditions and boundaries: Establish baseline first; failed runs retain effort. No savings percentage is a guaranteed acceptance result.</w:t>
      </w:r>
    </w:p>
    <w:p>
      <w:pPr>
        <w:keepNext/>
      </w:pPr>
      <w:r>
        <w:t>Verification: Agree a scorecard that separates first-draft time, review time, defects and adoption.</w:t>
      </w:r>
    </w:p>
    <w:p>
      <w:pPr>
        <w:keepNext w:val="0"/>
      </w:pPr>
      <w:r>
        <w:t>Evidence: Noumi_Product_Capabilities.md v1.1, CAP-012; AsterVale_Official_QA.pdf Addendum 01, Q23, Q24.</w:t>
      </w:r>
    </w:p>
    <w:p>
      <w:pPr>
        <w:pStyle w:val="Heading2"/>
        <w:keepNext/>
      </w:pPr>
      <w:r>
        <w:t>2.47 AV-047 Delivery</w:t>
      </w:r>
    </w:p>
    <w:p>
      <w:pPr>
        <w:keepNext/>
      </w:pPr>
      <w:r>
        <w:t>Demonstrate source-linked requirement extraction without silently inventing answers.</w:t>
      </w:r>
    </w:p>
    <w:p>
      <w:pPr>
        <w:keepNext/>
      </w:pPr>
      <w:r>
        <w:t>Response: Meets. Enumerate requirements, reconcile IDs, add narrative obligations and trace each material response to a source. Preserve explicit unresolved items.</w:t>
      </w:r>
    </w:p>
    <w:p>
      <w:pPr>
        <w:keepNext/>
      </w:pPr>
      <w:r>
        <w:t>Conditions and boundaries: Reviewer verifies citations; missing source facts must not be inferred as approved answers.</w:t>
      </w:r>
    </w:p>
    <w:p>
      <w:pPr>
        <w:keepNext/>
      </w:pPr>
      <w:r>
        <w:t>Verification: Extract a mixed document set and trace each requirement to its source and unresolved status.</w:t>
      </w:r>
    </w:p>
    <w:p>
      <w:pPr>
        <w:keepNext w:val="0"/>
      </w:pPr>
      <w:r>
        <w:t>Evidence: Noumi_Product_Capabilities.md v1.1, CAP-012, CAP-013.</w:t>
      </w:r>
    </w:p>
    <w:p>
      <w:pPr>
        <w:pStyle w:val="Heading2"/>
        <w:keepNext/>
      </w:pPr>
      <w:r>
        <w:t>2.48 AV-048 Delivery</w:t>
      </w:r>
    </w:p>
    <w:p>
      <w:pPr>
        <w:keepNext/>
      </w:pPr>
      <w:r>
        <w:t>Preserve editable template content including advanced PowerPoint animations where supported.</w:t>
      </w:r>
    </w:p>
    <w:p>
      <w:pPr>
        <w:keepNext/>
      </w:pPr>
      <w:r>
        <w:t>Response: Partially meets. Use approved templates to produce editable slide text and ordinary objects and identify unsupported features in a fidelity review.</w:t>
      </w:r>
    </w:p>
    <w:p>
      <w:pPr>
        <w:keepNext/>
      </w:pPr>
      <w:r>
        <w:t>Conditions and boundaries: Universal animation, embedded-object or layout fidelity is not guaranteed; test representative customer slides.</w:t>
      </w:r>
    </w:p>
    <w:p>
      <w:pPr>
        <w:keepNext/>
      </w:pPr>
      <w:r>
        <w:t>Verification: Complete a customer-approved presentation and identify unsupported animation or layout fidelity.</w:t>
      </w:r>
    </w:p>
    <w:p>
      <w:pPr>
        <w:keepNext w:val="0"/>
      </w:pPr>
      <w:r>
        <w:t>Evidence: Noumi_Product_Capabilities.md v1.1, CAP-010; AsterVale_Official_QA.pdf Addendum 01, Q06.</w:t>
      </w:r>
    </w:p>
    <w:p>
      <w:pPr>
        <w:pStyle w:val="Heading2"/>
        <w:keepNext/>
      </w:pPr>
      <w:r>
        <w:t>2.49 AV-049 Delivery</w:t>
      </w:r>
    </w:p>
    <w:p>
      <w:pPr>
        <w:keepNext/>
      </w:pPr>
      <w:r>
        <w:t>Document business-hours support, severity definitions and response targets.</w:t>
      </w:r>
    </w:p>
    <w:p>
      <w:pPr>
        <w:keepNext/>
      </w:pPr>
      <w:r>
        <w:t>Response: Meets. Provide standard support Monday-Friday 09:00-18:00 Singapore, excluding public holidays: P1 one business hour, P2 four business hours, P3 next business day.</w:t>
      </w:r>
    </w:p>
    <w:p>
      <w:pPr>
        <w:keepNext/>
      </w:pPr>
      <w:r>
        <w:t>Conditions and boundaries: First response is acknowledgement and assessment, not restoration. P1 means organization production outage without a viable workaround.</w:t>
      </w:r>
    </w:p>
    <w:p>
      <w:pPr>
        <w:keepNext/>
      </w:pPr>
      <w:r>
        <w:t>Verification: Submit support coverage, timezone, escalation routes and contractual exclusions.</w:t>
      </w:r>
    </w:p>
    <w:p>
      <w:pPr>
        <w:keepNext w:val="0"/>
      </w:pPr>
      <w:r>
        <w:t>Evidence: Noumi_Product_Capabilities.md v1.1, CAP-018; Noumi_Pricing_and_Service_Scope.xlsx 2026.3, Pricing / Service scope / Purchase rules; AsterVale_Official_QA.pdf Addendum 01, Q25; AsterVale_Quote.xlsx AV-Q-2026-041 v1.0, Quote / Scope and conditions.</w:t>
      </w:r>
    </w:p>
    <w:p>
      <w:pPr>
        <w:pStyle w:val="Heading2"/>
        <w:keepNext/>
      </w:pPr>
      <w:r>
        <w:t>2.50 AV-050 Delivery</w:t>
      </w:r>
    </w:p>
    <w:p>
      <w:pPr>
        <w:keepNext/>
      </w:pPr>
      <w:r>
        <w:t>Provide a priced option for 24-hour critical incident coverage.</w:t>
      </w:r>
    </w:p>
    <w:p>
      <w:pPr>
        <w:keepNext/>
      </w:pPr>
      <w:r>
        <w:t>Response: Meets. Offer enhanced P1 coverage for USD 4,800 per organization per year, 24x7 with a one-hour initial response target.</w:t>
      </w:r>
    </w:p>
    <w:p>
      <w:pPr>
        <w:keepNext/>
      </w:pPr>
      <w:r>
        <w:t>Conditions and boundaries: P2 and P3 retain standard hours. Consulting, training and workflow redesign are outside incident support.</w:t>
      </w:r>
    </w:p>
    <w:p>
      <w:pPr>
        <w:keepNext/>
      </w:pPr>
      <w:r>
        <w:t>Verification: State coverage days, P1 definition, response target and annual option price.</w:t>
      </w:r>
    </w:p>
    <w:p>
      <w:pPr>
        <w:keepNext w:val="0"/>
      </w:pPr>
      <w:r>
        <w:t>Evidence: Noumi_Product_Capabilities.md v1.1, CAP-018; Noumi_Pricing_and_Service_Scope.xlsx 2026.3, Pricing / Service scope / Purchase rules; AsterVale_Official_QA.pdf Addendum 01, Q25; AsterVale_Quote.xlsx AV-Q-2026-041 v1.0, Quote / Scope and conditions.</w:t>
      </w:r>
    </w:p>
    <w:p>
      <w:pPr>
        <w:pStyle w:val="Heading2"/>
        <w:keepNext/>
      </w:pPr>
      <w:r>
        <w:t>2.51 AV-051 Commercial</w:t>
      </w:r>
    </w:p>
    <w:p>
      <w:pPr>
        <w:keepNext/>
      </w:pPr>
      <w:r>
        <w:t>Quote annual seat fees, allowances, implementation and optional services separately in USD.</w:t>
      </w:r>
    </w:p>
    <w:p>
      <w:pPr>
        <w:keepNext/>
      </w:pPr>
      <w:r>
        <w:t>Response: Meets. Quote AV-Q-2026-041 v1.0 of 14 October offers 60 Enterprise seats at USD 1,080/year, USD 4,800 enhanced P1 support and USD 9,600 implementation: USD 79,200 first year and USD 69,600 recurring, tax exclusive.</w:t>
      </w:r>
    </w:p>
    <w:p>
      <w:pPr>
        <w:keepNext/>
      </w:pPr>
      <w:r>
        <w:t>Conditions and boundaries: Issued quotation is supplier-approved pricing, not customer acceptance. No automatic extra Credits or unapproved expansion.</w:t>
      </w:r>
    </w:p>
    <w:p>
      <w:pPr>
        <w:keepNext/>
      </w:pPr>
      <w:r>
        <w:t>Verification: Provide line-item quantities, rates, term, discount, taxes and total first-year commitment.</w:t>
      </w:r>
    </w:p>
    <w:p>
      <w:pPr>
        <w:keepNext w:val="0"/>
      </w:pPr>
      <w:r>
        <w:t>Evidence: Noumi_Product_Capabilities.md v1.1, CAP-032; Noumi_Pricing_and_Service_Scope.xlsx 2026.3, Pricing / Service scope / Purchase rules; AsterVale_Official_QA.pdf Addendum 01, Q05, Q20; AsterVale_Quote.xlsx AV-Q-2026-041 v1.0, Quote / Scope and conditions.</w:t>
      </w:r>
    </w:p>
    <w:p>
      <w:pPr>
        <w:pStyle w:val="Heading2"/>
        <w:keepNext/>
      </w:pPr>
      <w:r>
        <w:t>2.52 AV-052 Commercial</w:t>
      </w:r>
    </w:p>
    <w:p>
      <w:pPr>
        <w:keepNext/>
      </w:pPr>
      <w:r>
        <w:t>State renewal pricing, validity, billing milestones and expansion rules.</w:t>
      </w:r>
    </w:p>
    <w:p>
      <w:pPr>
        <w:keepNext/>
      </w:pPr>
      <w:r>
        <w:t>Response: Meets. The quote is valid through 30 November 2026 for 1 December 2026–30 November 2027. Recurring fees at unchanged rates and scope are USD 69,600. Invoice recurring fees at start and implementation 50% at kickoff / 50% at acceptance; supplier offer is net 30.</w:t>
      </w:r>
    </w:p>
    <w:p>
      <w:pPr>
        <w:keepNext/>
      </w:pPr>
      <w:r>
        <w:t>Conditions and boundaries: Catalog adds seats by remaining whole months; state and agree the proration basis in the executed order.</w:t>
      </w:r>
    </w:p>
    <w:p>
      <w:pPr>
        <w:keepNext/>
      </w:pPr>
      <w:r>
        <w:t>Verification: Provide the second-year recurring amount and a worked midterm seat-addition rule.</w:t>
      </w:r>
    </w:p>
    <w:p>
      <w:pPr>
        <w:keepNext w:val="0"/>
      </w:pPr>
      <w:r>
        <w:t>Evidence: Noumi_Product_Capabilities.md v1.1, CAP-032; Noumi_Pricing_and_Service_Scope.xlsx 2026.3, Pricing / Service scope / Purchase rules; AsterVale_Official_QA.pdf Addendum 01, Q18, Q20; AsterVale_Quote.xlsx AV-Q-2026-041 v1.0, Quote / Scope and conditions.</w:t>
      </w:r>
    </w:p>
    <w:p>
      <w:pPr>
        <w:pStyle w:val="Heading2"/>
        <w:keepNext/>
      </w:pPr>
      <w:r>
        <w:t>2.53 AV-053 Commercial</w:t>
      </w:r>
    </w:p>
    <w:p>
      <w:pPr>
        <w:keepNext/>
      </w:pPr>
      <w:r>
        <w:t>Disclose all exclusions including models, third-party services, migration and custom integrations.</w:t>
      </w:r>
    </w:p>
    <w:p>
      <w:pPr>
        <w:keepNext/>
      </w:pPr>
      <w:r>
        <w:t>Response: Meets. Exclude third-party licenses, extra migration, custom connectors, additional workflows, onsite work, dedicated infrastructure and custom models unless separately ordered.</w:t>
      </w:r>
    </w:p>
    <w:p>
      <w:pPr>
        <w:keepNext/>
      </w:pPr>
      <w:r>
        <w:t>Conditions and boundaries: Standard approved model route is included; custom integration and deployment require separately priced scope.</w:t>
      </w:r>
    </w:p>
    <w:p>
      <w:pPr>
        <w:keepNext/>
      </w:pPr>
      <w:r>
        <w:t>Verification: Provide an explicit inclusion/exclusion schedule tied to the quoted scope.</w:t>
      </w:r>
    </w:p>
    <w:p>
      <w:pPr>
        <w:keepNext w:val="0"/>
      </w:pPr>
      <w:r>
        <w:t>Evidence: Noumi_Product_Capabilities.md v1.1, CAP-035, CAP-037, CAP-043; Noumi_Pricing_and_Service_Scope.xlsx 2026.3, Pricing / Service scope / Purchase rules; AsterVale_Official_QA.pdf Addendum 01, Q20; AsterVale_Quote.xlsx AV-Q-2026-041 v1.0, Quote / Scope and conditions.</w:t>
      </w:r>
    </w:p>
    <w:p>
      <w:pPr>
        <w:pStyle w:val="Heading2"/>
        <w:keepNext/>
      </w:pPr>
      <w:r>
        <w:t>2.54 AV-054 Commercial</w:t>
      </w:r>
    </w:p>
    <w:p>
      <w:pPr>
        <w:keepNext/>
      </w:pPr>
      <w:r>
        <w:t>Identify deviations from the proposed service agreement by clause.</w:t>
      </w:r>
    </w:p>
    <w:p>
      <w:pPr>
        <w:keepNext/>
      </w:pPr>
      <w:r>
        <w:t>Response: Meets. Provide a clause-by-clause deviation schedule and proposed replacement wording, identifying operational and financial effects.</w:t>
      </w:r>
    </w:p>
    <w:p>
      <w:pPr>
        <w:keepNext/>
      </w:pPr>
      <w:r>
        <w:t>Conditions and boundaries: No proposed deviation is accepted without an authorized written agreement.</w:t>
      </w:r>
    </w:p>
    <w:p>
      <w:pPr>
        <w:keepNext/>
      </w:pPr>
      <w:r>
        <w:t>Verification: Submit each deviation with replacement language and its impact on cost or delivery.</w:t>
      </w:r>
    </w:p>
    <w:p>
      <w:pPr>
        <w:keepNext w:val="0"/>
      </w:pPr>
      <w:r>
        <w:t>Evidence: Noumi_Product_Capabilities.md v1.1, CAP-041; Noumi_Pricing_and_Service_Scope.xlsx 2026.3, Pricing / Service scope / Purchase rules; AsterVale_Official_QA.pdf Addendum 01, Q04, Q11, Q12, Q14, Q18, Q19.</w:t>
      </w:r>
    </w:p>
    <w:p>
      <w:pPr>
        <w:pStyle w:val="Heading2"/>
        <w:keepNext/>
      </w:pPr>
      <w:r>
        <w:t>2.55 AV-055 Commercial</w:t>
      </w:r>
    </w:p>
    <w:p>
      <w:pPr>
        <w:keepNext/>
      </w:pPr>
      <w:r>
        <w:t>Separate current capability from configuration, custom development and roadmap commitments.</w:t>
      </w:r>
    </w:p>
    <w:p>
      <w:pPr>
        <w:keepNext/>
      </w:pPr>
      <w:r>
        <w:t>Response: Meets. Identify current capability, configuration, separate SOW and unavailable scope for every requirement; do not rely on a future release.</w:t>
      </w:r>
    </w:p>
    <w:p>
      <w:pPr>
        <w:keepNext/>
      </w:pPr>
      <w:r>
        <w:t>Conditions and boundaries: No roadmap delivery date or unsupported certification is committed.</w:t>
      </w:r>
    </w:p>
    <w:p>
      <w:pPr>
        <w:keepNext/>
      </w:pPr>
      <w:r>
        <w:t>Verification: Use the response status fields for every requirement and identify evidence and delivery dependencies.</w:t>
      </w:r>
    </w:p>
    <w:p>
      <w:pPr>
        <w:keepNext w:val="0"/>
      </w:pPr>
      <w:r>
        <w:t>Evidence: Noumi_Product_Capabilities.md v1.1, CAP-001, CAP-035, CAP-037, CAP-043, CAP-044, CAP-045.</w:t>
      </w:r>
    </w:p>
    <w:p>
      <w:pPr>
        <w:pStyle w:val="Heading2"/>
        <w:keepNext/>
      </w:pPr>
      <w:r>
        <w:t>2.56 AV-056 Integration</w:t>
      </w:r>
    </w:p>
    <w:p>
      <w:pPr>
        <w:keepNext/>
      </w:pPr>
      <w:r>
        <w:t>Support bidirectional synchronization with Notion, or describe an alternative import workflow.</w:t>
      </w:r>
    </w:p>
    <w:p>
      <w:pPr>
        <w:keepNext/>
      </w:pPr>
      <w:r>
        <w:t>Response: Partially meets. Use customer-authorized export of supported documents into the project and controlled import after checking format and access.</w:t>
      </w:r>
    </w:p>
    <w:p>
      <w:pPr>
        <w:keepNext/>
      </w:pPr>
      <w:r>
        <w:t>Conditions and boundaries: No continuous bidirectional Notion synchronization or automatic conflict resolution; the manual alternative is not equivalent automation.</w:t>
      </w:r>
    </w:p>
    <w:p>
      <w:pPr>
        <w:keepNext/>
      </w:pPr>
      <w:r>
        <w:t>Verification: Update a document on each side and verify conflict handling, or demonstrate the supported one-way import alternative.</w:t>
      </w:r>
    </w:p>
    <w:p>
      <w:pPr>
        <w:keepNext w:val="0"/>
      </w:pPr>
      <w:r>
        <w:t>Evidence: Noumi_Product_Capabilities.md v1.1, CAP-044; AsterVale_Official_QA.pdf Addendum 01, Q09.</w:t>
      </w:r>
    </w:p>
    <w:p>
      <w:pPr>
        <w:pStyle w:val="Heading2"/>
      </w:pPr>
      <w:r>
        <w:t>2.57 Connector scope and action controls</w:t>
      </w:r>
    </w:p>
    <w:tbl>
      <w:tblPr>
        <w:tblW w:type="auto" w:w="0"/>
        <w:tblLayout w:type="fixed"/>
        <w:tblLook w:firstColumn="1" w:firstRow="1" w:lastColumn="0" w:lastRow="0" w:noHBand="0" w:noVBand="1" w:val="04A0"/>
      </w:tblPr>
      <w:tblGrid>
        <w:gridCol w:w="2376"/>
        <w:gridCol w:w="2592"/>
        <w:gridCol w:w="4608"/>
      </w:tblGrid>
      <w:tr>
        <w:trPr>
          <w:tblHeader/>
        </w:trPr>
        <w:tc>
          <w:tcPr>
            <w:tcW w:type="dxa" w:w="3389"/>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Route and action</w:t>
            </w:r>
          </w:p>
        </w:tc>
        <w:tc>
          <w:tcPr>
            <w:tcW w:type="dxa" w:w="3389"/>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Proposed treatment</w:t>
            </w:r>
          </w:p>
        </w:tc>
        <w:tc>
          <w:tcPr>
            <w:tcW w:type="dxa" w:w="3389"/>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Prerequisites and exclusions</w:t>
            </w:r>
          </w:p>
        </w:tc>
      </w:tr>
      <w:tr>
        <w:tc>
          <w:tcPr>
            <w:tcW w:type="dxa" w:w="237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Microsoft 365 file read</w:t>
            </w:r>
          </w:p>
        </w:tc>
        <w:tc>
          <w:tcPr>
            <w:tcW w:type="dxa" w:w="2592"/>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Included configuration for approved workflow</w:t>
            </w:r>
          </w:p>
        </w:tc>
        <w:tc>
          <w:tcPr>
            <w:tcW w:type="dxa" w:w="460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Licensed account, administrator consent, source permission and selected files. Confirm supported file objects.</w:t>
            </w:r>
          </w:p>
        </w:tc>
      </w:tr>
      <w:tr>
        <w:tc>
          <w:tcPr>
            <w:tcW w:type="dxa" w:w="23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Microsoft 365 email draft</w:t>
            </w:r>
          </w:p>
        </w:tc>
        <w:tc>
          <w:tcPr>
            <w:tcW w:type="dxa" w:w="259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Included configured draft preparation</w:t>
            </w:r>
          </w:p>
        </w:tc>
        <w:tc>
          <w:tcPr>
            <w:tcW w:type="dxa" w:w="460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Approved test mailbox and permitted scopes; no external send during evaluation under Q27.</w:t>
            </w:r>
          </w:p>
        </w:tc>
      </w:tr>
      <w:tr>
        <w:tc>
          <w:tcPr>
            <w:tcW w:type="dxa" w:w="237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External send or supported update</w:t>
            </w:r>
          </w:p>
        </w:tc>
        <w:tc>
          <w:tcPr>
            <w:tcW w:type="dxa" w:w="2592"/>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Separate operation approval</w:t>
            </w:r>
          </w:p>
        </w:tc>
        <w:tc>
          <w:tcPr>
            <w:tcW w:type="dxa" w:w="460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Validate connector action and target. Reading does not authorize publication or sending.</w:t>
            </w:r>
          </w:p>
        </w:tc>
      </w:tr>
      <w:tr>
        <w:tc>
          <w:tcPr>
            <w:tcW w:type="dxa" w:w="23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Custom API or MCP</w:t>
            </w:r>
          </w:p>
        </w:tc>
        <w:tc>
          <w:tcPr>
            <w:tcW w:type="dxa" w:w="259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Separate SOW</w:t>
            </w:r>
          </w:p>
        </w:tc>
        <w:tc>
          <w:tcPr>
            <w:tcW w:type="dxa" w:w="460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Secret ownership, authentication, mapping, timeouts, duplicate protection and support responsibility require agreed scope and price.</w:t>
            </w:r>
          </w:p>
        </w:tc>
      </w:tr>
      <w:tr>
        <w:tc>
          <w:tcPr>
            <w:tcW w:type="dxa" w:w="237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Notion two-way sync</w:t>
            </w:r>
          </w:p>
        </w:tc>
        <w:tc>
          <w:tcPr>
            <w:tcW w:type="dxa" w:w="2592"/>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Unavailable in base scope</w:t>
            </w:r>
          </w:p>
        </w:tc>
        <w:tc>
          <w:tcPr>
            <w:tcW w:type="dxa" w:w="460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Controlled export/import may be used for supported formats; no automatic refresh/conflict guarantee.</w:t>
            </w:r>
          </w:p>
        </w:tc>
      </w:tr>
    </w:tbl>
    <w:p>
      <w:r>
        <w:t>Secrets remain in restricted credential storage and are not copied into prompts, reusable methods or artifacts. The account owner may revoke provider consent. On a failed write, verify whether the provider already applied the change before retrying. Offboarding must pause schedules and revoke connectors as well as disabling identity access. Public application links are excluded from AsterVale’s proposed scope.</w:t>
      </w:r>
    </w:p>
    <w:p>
      <w:r/>
    </w:p>
    <w:p>
      <w:bookmarkStart w:id="3" w:name="chapter3"/>
      <w:pPr>
        <w:pStyle w:val="Heading1"/>
      </w:pPr>
      <w:r>
        <w:t>3 Security and data handling</w:t>
      </w:r>
      <w:bookmarkEnd w:id="3"/>
    </w:p>
    <w:p>
      <w:pPr>
        <w:pStyle w:val="Heading2"/>
      </w:pPr>
      <w:r>
        <w:t>3.1 Processing boundary and approved data</w:t>
      </w:r>
    </w:p>
    <w:p>
      <w:r>
        <w:t>The proposed service uses Singapore for primary content, indexes, memory, audit records and encrypted backups. HarborGrid Cloud Pte. Ltd. provides hosted infrastructure and storage. LatticePeak Inference Pte. Ltd. processes task-selected prompts and relevant content for model inference in Singapore. Noumi authorized service personnel operate and support the service from Singapore. These are the configured routes described in Noumi_Security_and_Data_Handling.md v1.0 §§1–3 and the standard agreement §5.3 / Schedule C.</w:t>
      </w:r>
    </w:p>
    <w:p>
      <w:r>
        <w:t>AsterVale’s Microsoft 365 tenant is a customer-selected external service under its own licensing, region and retention arrangements. It is not represented as an additional Noumi hosting or model subprocessor. London users may access and download authorized content; that does not authorize a different hosting or model region. Q13 requires separate review of support access and any proposed exception. No additional model route or processing region is enabled without documented customer approval and any required safeguards.</w:t>
      </w:r>
    </w:p>
    <w:p>
      <w:r>
        <w:t>Initial data comprises ordinary staff identities, professional contact information, approved engagement documents, working instructions and outputs. Payment-card data, government identifiers, medical records and unrestricted client database ingestion are excluded. AsterVale classifies and approves selected files before upload and maintains its lawful basis and notices. Imported documents and public sources cannot override permissions, authorize disclosure or save client secrets as general working preferences.</w:t>
      </w:r>
    </w:p>
    <w:p>
      <w:pPr>
        <w:pStyle w:val="Heading2"/>
      </w:pPr>
      <w:r>
        <w:t>3.2 Data flow and access decisions</w:t>
      </w:r>
    </w:p>
    <w:tbl>
      <w:tblPr>
        <w:tblW w:type="auto" w:w="0"/>
        <w:tblLayout w:type="fixed"/>
        <w:tblLook w:firstColumn="1" w:firstRow="1" w:lastColumn="0" w:lastRow="0" w:noHBand="0" w:noVBand="1" w:val="04A0"/>
      </w:tblPr>
      <w:tblGrid>
        <w:gridCol w:w="2088"/>
        <w:gridCol w:w="7488"/>
      </w:tblGrid>
      <w:tr>
        <w:trPr>
          <w:tblHeader/>
        </w:trPr>
        <w:tc>
          <w:tcPr>
            <w:tcW w:type="dxa" w:w="5083"/>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Step</w:t>
            </w:r>
          </w:p>
        </w:tc>
        <w:tc>
          <w:tcPr>
            <w:tcW w:type="dxa" w:w="5083"/>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Information and control</w:t>
            </w:r>
          </w:p>
        </w:tc>
      </w:tr>
      <w:tr>
        <w:tc>
          <w:tcPr>
            <w:tcW w:type="dxa" w:w="208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Authenticate</w:t>
            </w:r>
          </w:p>
        </w:tc>
        <w:tc>
          <w:tcPr>
            <w:tcW w:type="dxa" w:w="748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Configured SAML or permitted account route identifies the user; entitlement checks follow authentication.</w:t>
            </w:r>
          </w:p>
        </w:tc>
      </w:tr>
      <w:tr>
        <w:tc>
          <w:tcPr>
            <w:tcW w:type="dxa" w:w="208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Select context</w:t>
            </w:r>
          </w:p>
        </w:tc>
        <w:tc>
          <w:tcPr>
            <w:tcW w:type="dxa" w:w="748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Application checks organization, project and file access. Group and direct grants are additive. Retrieve only relevant authorized sources.</w:t>
            </w:r>
          </w:p>
        </w:tc>
      </w:tr>
      <w:tr>
        <w:tc>
          <w:tcPr>
            <w:tcW w:type="dxa" w:w="208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Invoke tools and inference</w:t>
            </w:r>
          </w:p>
        </w:tc>
        <w:tc>
          <w:tcPr>
            <w:tcW w:type="dxa" w:w="748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Selected prompts and content go to the approved LatticePeak route. Each connector independently enforces customer/provider scope. Writes require separate authorization.</w:t>
            </w:r>
          </w:p>
        </w:tc>
      </w:tr>
      <w:tr>
        <w:tc>
          <w:tcPr>
            <w:tcW w:type="dxa" w:w="208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Store and review output</w:t>
            </w:r>
          </w:p>
        </w:tc>
        <w:tc>
          <w:tcPr>
            <w:tcW w:type="dxa" w:w="748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Save generated artifacts in the designated project. Private conversation messages are not automatically visible to peers or organization administrators. Review before consequential use.</w:t>
            </w:r>
          </w:p>
        </w:tc>
      </w:tr>
      <w:tr>
        <w:tc>
          <w:tcPr>
            <w:tcW w:type="dxa" w:w="208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Record and protect</w:t>
            </w:r>
          </w:p>
        </w:tc>
        <w:tc>
          <w:tcPr>
            <w:tcW w:type="dxa" w:w="748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Record available task milestones, tool actions, revisions and security events with minimized telemetry. Restrict operational access and retain evidence under the stated schedule.</w:t>
            </w:r>
          </w:p>
        </w:tc>
      </w:tr>
    </w:tbl>
    <w:p>
      <w:r>
        <w:t>A negative-access test must cover direct browsing, search, agent retrieval and the configured connector. Removing one grant may leave a direct grant effective; all routes must be checked. Revocation cannot retract copies already downloaded or messages already sent. Memory inherits the sensitivity of its source, and project facts cannot silently move into personal global preferences. Skill approval controls procedural reuse and does not grant additional data rights.</w:t>
      </w:r>
    </w:p>
    <w:p>
      <w:pPr>
        <w:pStyle w:val="Heading2"/>
      </w:pPr>
      <w:r>
        <w:t>3.3 Encryption identity and operational access</w:t>
      </w:r>
    </w:p>
    <w:p>
      <w:r>
        <w:t>Transport uses TLS 1.2 or later. Primary data and managed backups use AES-256 at rest. Infrastructure keys are access controlled, separated from routine content access and rotated through operations. Customer-managed keys and end-to-end encryption that prevents service processing are not included. Tokens use restricted secret handling; exposed credentials must be rotated at the issuer, not merely deleted from a document.</w:t>
      </w:r>
    </w:p>
    <w:p>
      <w:r>
        <w:t>One SAML connection is included. Test login, rejected assertions, suspension and a controlled recovery account before enforcement. SCIM is unavailable; AsterVale’s identity administrator owns the manual joiner, mover and leaver runbook, including local membership, group/direct grants and connector authorizations. Noumi privileged support access is limited to a service need, logged with a business reason and customer-authorized except for emergency or legal requirements. Review privileged accounts and membership at least quarterly and on role change.</w:t>
      </w:r>
    </w:p>
    <w:p>
      <w:pPr>
        <w:pStyle w:val="Heading2"/>
      </w:pPr>
      <w:r>
        <w:t>3.4 Model restrictions and retention</w:t>
      </w:r>
    </w:p>
    <w:p>
      <w:r>
        <w:t>Customer Data is not used to train shared models, including customer prompts, outputs and feedback. Q17 does not permit an exception merely because names have been removed. The approved LatticePeak route does not retain request or response payloads after inference; security metadata without payload content is retained for 30 days. Content is transmitted for inference, so this commitment must not be described as zero external processing. The selected route’s payload terms do not automatically apply to Microsoft-side records or a future connector.</w:t>
      </w:r>
    </w:p>
    <w:tbl>
      <w:tblPr>
        <w:tblW w:type="auto" w:w="0"/>
        <w:tblLayout w:type="fixed"/>
        <w:tblLook w:firstColumn="1" w:firstRow="1" w:lastColumn="0" w:lastRow="0" w:noHBand="0" w:noVBand="1" w:val="04A0"/>
      </w:tblPr>
      <w:tblGrid>
        <w:gridCol w:w="2592"/>
        <w:gridCol w:w="6984"/>
      </w:tblGrid>
      <w:tr>
        <w:trPr>
          <w:tblHeader/>
        </w:trPr>
        <w:tc>
          <w:tcPr>
            <w:tcW w:type="dxa" w:w="5083"/>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Data class</w:t>
            </w:r>
          </w:p>
        </w:tc>
        <w:tc>
          <w:tcPr>
            <w:tcW w:type="dxa" w:w="5083"/>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Retention and owner action</w:t>
            </w:r>
          </w:p>
        </w:tc>
      </w:tr>
      <w:tr>
        <w:tc>
          <w:tcPr>
            <w:tcW w:type="dxa" w:w="2592"/>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Workspace files and memory</w:t>
            </w:r>
          </w:p>
        </w:tc>
        <w:tc>
          <w:tcPr>
            <w:tcW w:type="dxa" w:w="69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Active subscription unless authorized deletion or an agreed shorter policy; customer curates versions and scope.</w:t>
            </w:r>
          </w:p>
        </w:tc>
      </w:tr>
      <w:tr>
        <w:tc>
          <w:tcPr>
            <w:tcW w:type="dxa" w:w="259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Parsing / working copies</w:t>
            </w:r>
          </w:p>
        </w:tc>
        <w:tc>
          <w:tcPr>
            <w:tcW w:type="dxa" w:w="69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Routine cleanup normally within seven days after no longer needed. Do not use intermediates as permanent records.</w:t>
            </w:r>
          </w:p>
        </w:tc>
      </w:tr>
      <w:tr>
        <w:tc>
          <w:tcPr>
            <w:tcW w:type="dxa" w:w="2592"/>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Audit / operational logs</w:t>
            </w:r>
          </w:p>
        </w:tc>
        <w:tc>
          <w:tcPr>
            <w:tcW w:type="dxa" w:w="69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Security audit events 180 days; operational request logs 30 days unless linked to investigation. Export longer-term customer evidence separately.</w:t>
            </w:r>
          </w:p>
        </w:tc>
      </w:tr>
      <w:tr>
        <w:tc>
          <w:tcPr>
            <w:tcW w:type="dxa" w:w="259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Support records</w:t>
            </w:r>
          </w:p>
        </w:tc>
        <w:tc>
          <w:tcPr>
            <w:tcW w:type="dxa" w:w="69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Twelve months after ticket closure, with unnecessary content removed sooner and lawful exceptions controlled.</w:t>
            </w:r>
          </w:p>
        </w:tc>
      </w:tr>
      <w:tr>
        <w:tc>
          <w:tcPr>
            <w:tcW w:type="dxa" w:w="2592"/>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Routine backups</w:t>
            </w:r>
          </w:p>
        </w:tc>
        <w:tc>
          <w:tcPr>
            <w:tcW w:type="dxa" w:w="69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Daily cycle with 35-day rolling retention, encrypted and restricted; not an ordinary user archive.</w:t>
            </w:r>
          </w:p>
        </w:tc>
      </w:tr>
    </w:tbl>
    <w:p>
      <w:pPr>
        <w:pStyle w:val="Heading2"/>
      </w:pPr>
      <w:r>
        <w:t>3.5 Export deletion and offboarding</w:t>
      </w:r>
    </w:p>
    <w:p>
      <w:r>
        <w:t>At termination AsterVale has 30 days to export available native files, project instructions and available audit records through an authorized request. The team inventories nonexportable information, checks archive readability and revokes integrations. Primary content, associated memory, indexes and working copies are removed within 30 days after the export window. Residual backups expire within a further 35 days. The longest ordinary sequence is therefore 95 days, not 30 days after termination. Restricted lawful holds and applicable security-log retention are identified separately. A restored backup must reapply deletion instructions before ordinary use resumes. Q16 confirms this sequence.</w:t>
      </w:r>
    </w:p>
    <w:p>
      <w:r>
        <w:t>User offboarding separately inventories owned business files and schedules, transfers organization artifacts to nominated owners and obtains authorized export of business-relevant private material before account removal. Private transcripts are not automatically transferred to administrators. Suspend access, remove effective grants, revoke provider credentials and verify denial. A vacated paid seat may be reassigned; unused Enterprise Credits remain in the organization pool until expiry, with no personal refund or balance transfer.</w:t>
      </w:r>
    </w:p>
    <w:p>
      <w:pPr>
        <w:pStyle w:val="Heading2"/>
      </w:pPr>
      <w:r>
        <w:t>3.6 Incidents recovery and assurance evidence</w:t>
      </w:r>
    </w:p>
    <w:p>
      <w:r>
        <w:t>Noumi’s proposed notice is without undue delay and within 48 hours after confirming customer-data involvement. The initial message provides known affected categories, containment, a coordination contact and material update plan. Investigation completion does not delay the initial notice. Preserve detection, confirmation and notification times, decisions and evidence. The customer draft remains 24 hours after awareness under Q14; chapter 6 explicitly proposes the alternate trigger and deadline. Outages without data compromise follow the support/SLA route and are not automatically called breaches.</w:t>
      </w:r>
    </w:p>
    <w:p>
      <w:r>
        <w:t>Daily backups support platform restoration with RPO 24 hours and RTO 8 hours as objectives under Q12. Recent writes may be lost; dependencies and region-wide events affect restoration. Available restore-test summaries should identify tested data classes, restore point, duration, exclusions and corrective actions. No completed AsterVale restore or isolation test is claimed here.</w:t>
      </w:r>
    </w:p>
    <w:p>
      <w:r>
        <w:t>No Noumi ISO 27001 certificate or SOC 2 report is asserted. Under Q15 this is a scored assurance limitation rather than an automatic functional exclusion; it can still affect security approval. The assessment package can include the control description, configured route register, access-test records, restore summary, incident process, retention schedule, DPA and relevant change records under confidentiality. A cloud-provider certificate is not a Noumi audit. Any penetration test requires agreed scope and timing. The customer security reviewer determines whether the supplied evidence is sufficient for the intended data.</w:t>
      </w:r>
    </w:p>
    <w:p>
      <w:r/>
    </w:p>
    <w:p>
      <w:bookmarkStart w:id="4" w:name="chapter4"/>
      <w:pPr>
        <w:pStyle w:val="Heading1"/>
      </w:pPr>
      <w:r>
        <w:t>4 Implementation and services</w:t>
      </w:r>
      <w:bookmarkEnd w:id="4"/>
    </w:p>
    <w:p>
      <w:pPr>
        <w:pStyle w:val="Heading2"/>
      </w:pPr>
      <w:r>
        <w:t>4.1 Six week production implementation</w:t>
      </w:r>
    </w:p>
    <w:p>
      <w:r>
        <w:t>The production implementation begins at the agreed kickoff after order execution and readiness. The planned subscription start is 1 December 2026, but production implementation may extend beyond that date; the pre-award pilot does not consume the six-week period. Within five Business Days of kickoff we propose confirming the detailed schedule, input owners and test dates. Delayed customer inputs affect only dependent activities and are recorded with mitigation; changes do not automatically authorize extra fees.</w:t>
      </w:r>
    </w:p>
    <w:tbl>
      <w:tblPr>
        <w:tblW w:type="auto" w:w="0"/>
        <w:tblLayout w:type="fixed"/>
        <w:tblLook w:firstColumn="1" w:firstRow="1" w:lastColumn="0" w:lastRow="0" w:noHBand="0" w:noVBand="1" w:val="04A0"/>
      </w:tblPr>
      <w:tblGrid>
        <w:gridCol w:w="648"/>
        <w:gridCol w:w="3384"/>
        <w:gridCol w:w="3024"/>
        <w:gridCol w:w="2520"/>
      </w:tblGrid>
      <w:tr>
        <w:trPr>
          <w:tblHeader/>
        </w:trPr>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Week</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Deliverable and activity</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Owner and dependency</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Exit evidence</w:t>
            </w:r>
          </w:p>
        </w:tc>
      </w:tr>
      <w:tr>
        <w:tc>
          <w:tcPr>
            <w:tcW w:type="dxa" w:w="6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1</w:t>
            </w:r>
          </w:p>
        </w:tc>
        <w:tc>
          <w:tcPr>
            <w:tcW w:type="dxa" w:w="33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Kickoff, inventory, source classification, processing and access design</w:t>
            </w:r>
          </w:p>
        </w:tc>
        <w:tc>
          <w:tcPr>
            <w:tcW w:type="dxa" w:w="302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Priya coordinates; Omar provides identity administrator; Leila reviews route; customer selects files</w:t>
            </w:r>
          </w:p>
        </w:tc>
        <w:tc>
          <w:tcPr>
            <w:tcW w:type="dxa" w:w="252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Approved source list, role map, processing route and acceptance scripts</w:t>
            </w:r>
          </w:p>
        </w:tc>
      </w:tr>
      <w:tr>
        <w:tc>
          <w:tcPr>
            <w:tcW w:type="dxa" w:w="64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2</w:t>
            </w:r>
          </w:p>
        </w:tc>
        <w:tc>
          <w:tcPr>
            <w:tcW w:type="dxa" w:w="33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Configure one SAML connection, role groups and Microsoft 365 consent; ingest selected files</w:t>
            </w:r>
          </w:p>
        </w:tc>
        <w:tc>
          <w:tcPr>
            <w:tcW w:type="dxa" w:w="30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Noumi configuration team and customer administrator; licensed accounts and metadata</w:t>
            </w:r>
          </w:p>
        </w:tc>
        <w:tc>
          <w:tcPr>
            <w:tcW w:type="dxa" w:w="25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Login / rejected assertion / negative retrieval / connector scope records</w:t>
            </w:r>
          </w:p>
        </w:tc>
      </w:tr>
      <w:tr>
        <w:tc>
          <w:tcPr>
            <w:tcW w:type="dxa" w:w="6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3</w:t>
            </w:r>
          </w:p>
        </w:tc>
        <w:tc>
          <w:tcPr>
            <w:tcW w:type="dxa" w:w="33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Configure proposal workflow and requirement-to-source checks; first administrator session</w:t>
            </w:r>
          </w:p>
        </w:tc>
        <w:tc>
          <w:tcPr>
            <w:tcW w:type="dxa" w:w="302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Priya and Jonah; current RFP library and reviewer availability</w:t>
            </w:r>
          </w:p>
        </w:tc>
        <w:tc>
          <w:tcPr>
            <w:tcW w:type="dxa" w:w="252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Editable requirement matrix and DOCX, missing-evidence handling, reviewed Skill</w:t>
            </w:r>
          </w:p>
        </w:tc>
      </w:tr>
      <w:tr>
        <w:tc>
          <w:tcPr>
            <w:tcW w:type="dxa" w:w="64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4</w:t>
            </w:r>
          </w:p>
        </w:tc>
        <w:tc>
          <w:tcPr>
            <w:tcW w:type="dxa" w:w="33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Configure meeting workflow; template fidelity review; second administrator session</w:t>
            </w:r>
          </w:p>
        </w:tc>
        <w:tc>
          <w:tcPr>
            <w:tcW w:type="dxa" w:w="30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Priya and Rachel; approved meeting sources and template</w:t>
            </w:r>
          </w:p>
        </w:tc>
        <w:tc>
          <w:tcPr>
            <w:tcW w:type="dxa" w:w="25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Editable brief and PPTX, essential layouts verified, manual-rework log</w:t>
            </w:r>
          </w:p>
        </w:tc>
      </w:tr>
      <w:tr>
        <w:tc>
          <w:tcPr>
            <w:tcW w:type="dxa" w:w="648"/>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5</w:t>
            </w:r>
          </w:p>
        </w:tc>
        <w:tc>
          <w:tcPr>
            <w:tcW w:type="dxa" w:w="33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Two cohort end-user sessions and user acceptance execution</w:t>
            </w:r>
          </w:p>
        </w:tc>
        <w:tc>
          <w:tcPr>
            <w:tcW w:type="dxa" w:w="302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Noumi training; AsterVale attendees and two workflow owners</w:t>
            </w:r>
          </w:p>
        </w:tc>
        <w:tc>
          <w:tcPr>
            <w:tcW w:type="dxa" w:w="252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Attendance, practice outputs, access and usage reconciliation, defect log</w:t>
            </w:r>
          </w:p>
        </w:tc>
      </w:tr>
      <w:tr>
        <w:tc>
          <w:tcPr>
            <w:tcW w:type="dxa" w:w="64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6</w:t>
            </w:r>
          </w:p>
        </w:tc>
        <w:tc>
          <w:tcPr>
            <w:tcW w:type="dxa" w:w="33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Remediate, retest, support/export handover and acceptance decision</w:t>
            </w:r>
          </w:p>
        </w:tc>
        <w:tc>
          <w:tcPr>
            <w:tcW w:type="dxa" w:w="30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Delivery team and customer owners; timely review of complete evidence</w:t>
            </w:r>
          </w:p>
        </w:tc>
        <w:tc>
          <w:tcPr>
            <w:tcW w:type="dxa" w:w="25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Two workflows accepted or specifically rejected; handover and open minor-defect owners</w:t>
            </w:r>
          </w:p>
        </w:tc>
      </w:tr>
    </w:tbl>
    <w:p>
      <w:r>
        <w:t>The fixed fee covers migration of up to 200 customer-selected files, two workflow configurations, one SAML connection, two administrator sessions and two end-user sessions for the 60-user cohort in groups. The customer cleans obsolete or sensitive sources and supplies reviewers. Bulk archive migration, cleansing, additional workflows and bespoke integrations require written change control. A six-week delivery window describes milestones, not exclusive staffing.</w:t>
      </w:r>
    </w:p>
    <w:p>
      <w:pPr>
        <w:pStyle w:val="Heading2"/>
      </w:pPr>
      <w:r>
        <w:t>4.2 Acceptance responsibilities and defect handling</w:t>
      </w:r>
    </w:p>
    <w:p>
      <w:r>
        <w:t>Jonah reviews proposal workflow outcomes and Rachel meeting preparation outcomes; Omar confirms identity and connector readiness; Leila assesses processing and security controls. These technical roles do not independently approve budget or execute the contract. AsterVale supplies authorized and unauthorized test accounts, approved source versions, expected outcomes and reviewers. Noumi provides the configured workflows, training, test evidence and remediation for agreed in-scope defects.</w:t>
      </w:r>
    </w:p>
    <w:p>
      <w:r>
        <w:t>For each test retain requirement ID, source revision, user/role, prerequisites, action, expected result, actual observation, artifact, defect reference and reviewer. Acceptance covers both workflows, authorized retrieval and denied cross-engagement access, memory correction/deletion in a fresh task, explicit external-write approval, native editability, seat/Credit reporting, support escalation and export. A failed or missing test remains open. Material failures require an owner and remediation plan and retesting of affected criteria. Minor cosmetic defects may be recorded with a correction date if they do not prevent agreed use.</w:t>
      </w:r>
    </w:p>
    <w:p>
      <w:r>
        <w:t>The proposed procedure uses a complete delivery notice and ten-Business-Day customer review with written acceptance or a specific material rejection. Testing, limited use and silence do not by themselves constitute acceptance under the customer draft. Chapter 6 identifies the difference from Noumi’s standard deemed-acceptance provision and the the existing customer option to agree a specific remediation plan instead of correction within ten Business Days. Final signed acceptance language governs; attendance at kickoff alone does not complete implementation.</w:t>
      </w:r>
    </w:p>
    <w:p>
      <w:pPr>
        <w:pStyle w:val="Heading2"/>
      </w:pPr>
      <w:r>
        <w:t>4.3 Demonstration and pilot evidence</w:t>
      </w:r>
    </w:p>
    <w:p>
      <w:r>
        <w:t>The planned demonstration is 22 October 2026 from 15:00 to 16:00 Singapore time. The required sequence is five minutes of objectives, 15 minutes retrieving/analyzing sources, 15 minutes producing and revising editable deliverables, ten minutes of memory and access controls, ten minutes of security/service/commercial questions and five minutes agreeing next steps. The evaluator may supply a new source or correction. Prepared artifacts can explain expected form but are explicitly identified as prepared and do not substitute for observed live behavior under Q26.</w:t>
      </w:r>
    </w:p>
    <w:p>
      <w:r>
        <w:t>Demonstrate discovery without another upload and explicit selection of an existing file. Correct a lasting preference, inspect its scope and test application in a new relevant task without pasting the rule again. Delete or disable it and verify behavior. Include a missing-fact question to check that the system exposes the gap. Open native DOCX/XLSX/PPTX and edit content. Under Q27 prepare an email draft and show the authorization boundary with test accounts; do not send a customer email or modify a live record.</w:t>
      </w:r>
    </w:p>
    <w:p>
      <w:r>
        <w:t>The planned pilot runs 26 October–20 November for 12 users, ten representative work packages and two reviewers, subject to written evaluation conditions, approved material and account readiness. Record task start, first complete draft, final review completion, material factual corrections, formatting rework and actual usage. Keep failed and abandoned runs in effort totals. Compare preparation and reviewer effort separately against the customer’s mutually exclusive baseline categories. A positive outcome requires improved preparation without increased substantive review errors. The small pilot does not establish a full-company causal savings claim or legal-accuracy certification.</w:t>
      </w:r>
    </w:p>
    <w:p>
      <w:r>
        <w:t>AsterVale’s initial planning assumptions of 35% preparation improvement and 70% effective adoption remain unverified. They are not proposed service warranties. Business, budget, security, contract and delivery owners must close their conditions before an order can be placed under Q28. Selection on 25 November is a target and does not replace Procurement’s written award decision.</w:t>
      </w:r>
    </w:p>
    <w:p>
      <w:pPr>
        <w:pStyle w:val="Heading2"/>
      </w:pPr>
      <w:r>
        <w:t>4.4 Support availability and escalation</w:t>
      </w:r>
    </w:p>
    <w:p>
      <w:r>
        <w:t>The subscription includes support Monday–Friday, 09:00–18:00 Singapore time, excluding Singapore public holidays. P1 is a production-wide outage without a practical workaround; P2 is a significant impairment with a limited workaround; P3 is a routine issue or product-use question. Standard initial responses are one business hour, four business hours and next Business Day respectively. The quoted enhancement extends P1 only to 24x7 with one elapsed-hour initial response. P2/P3 retain standard hours. Response is acknowledgement and triage, not restoration or final resolution. Customer security incidents are also routed through the distinct incident-notice process.</w:t>
      </w:r>
    </w:p>
    <w:p>
      <w:r>
        <w:t>AsterVale provides an accessible incident contact, impact, affected users, start time and reproducible diagnostics. Noumi support triages and engages Service Operations or Security as appropriate, preserves the incident record and agrees updates based on impact and then-available facts. Named contact channels are recorded in the executed order and handover. Support excludes new integrations, training and workflow redesign unless separately purchased. London ordinary support needs must be considered against the Singapore service window.</w:t>
      </w:r>
    </w:p>
    <w:p>
      <w:r>
        <w:t>Monthly availability covers core hosted login, project access and task submission: 100 × (eligible minutes − unavailable minutes) / eligible minutes. A minute is unavailable when the covered core service cannot perform for the customer organization. Output-quality issues and a single connector failure are not automatically a core outage. Proposed exclusions are maintenance notified at least 48 hours ahead, limited to four hours per month, customer-only network/configuration failures, unauthorized use and qualifying force majeure. Excess maintenance remains eligible; supplier-selected infrastructure failure is not automatically excluded.</w:t>
      </w:r>
    </w:p>
    <w:p>
      <w:r>
        <w:t>Noumi proposes credits of 5% below 99.5% but at least 99%, 10% below 99% but at least 95%, and 20% below 95%, capped at 20% of the affected monthly subscription fee. Claims are submitted within 30 days after the month and reviewed within 15 Business Days, with approved credit applied to the next invoice or refunded if none remains. The annual subscription is divided by twelve for the credit base. The customer draft uses affected recurring fees; this difference and remedy interactions remain explicit in chapter 6. Credits for availability alone do not remove separate security or confidentiality remedies and no loss is recovered twice.</w:t>
      </w:r>
    </w:p>
    <w:p>
      <w:r/>
    </w:p>
    <w:p>
      <w:bookmarkStart w:id="5" w:name="chapter5"/>
      <w:pPr>
        <w:pStyle w:val="Heading1"/>
      </w:pPr>
      <w:r>
        <w:t>5 Pricing</w:t>
      </w:r>
      <w:bookmarkEnd w:id="5"/>
    </w:p>
    <w:p>
      <w:pPr>
        <w:pStyle w:val="Heading2"/>
      </w:pPr>
      <w:r>
        <w:t>5.1 Issued commercial schedule</w:t>
      </w:r>
    </w:p>
    <w:p>
      <w:r>
        <w:t>The supplied AsterVale_Quote.xlsx file identifies AV-Q-2026-041 v1.0, an issue date of 14 October 2026 and validity through 30 November 2026. Those future-dated statements, current validity and supplier approval status are unverified as of 30 September 2026 and must be confirmed before use. The file states planned service dates of 1 December 2026 through 30 November 2027, subject to an executed order. Amounts below are quoted file figures in USD excluding applicable taxes; applicable tax is separately itemized, with no exemption assumed. Neither a quote nor an approval-to-issue status establishes customer acceptance or contract execution.</w:t>
      </w:r>
    </w:p>
    <w:tbl>
      <w:tblPr>
        <w:tblW w:type="auto" w:w="0"/>
        <w:tblLayout w:type="fixed"/>
        <w:tblLook w:firstColumn="1" w:firstRow="1" w:lastColumn="0" w:lastRow="0" w:noHBand="0" w:noVBand="1" w:val="04A0"/>
      </w:tblPr>
      <w:tblGrid>
        <w:gridCol w:w="3816"/>
        <w:gridCol w:w="1584"/>
        <w:gridCol w:w="2016"/>
        <w:gridCol w:w="2160"/>
      </w:tblGrid>
      <w:tr>
        <w:trPr>
          <w:tblHeader/>
        </w:trPr>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Charge</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Quantity</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Unit rate USD</w:t>
            </w:r>
          </w:p>
        </w:tc>
        <w:tc>
          <w:tcPr>
            <w:tcW w:type="dxa" w:w="2541"/>
            <w:tcBorders>
              <w:top w:val="single" w:sz="4" w:color="D9D9D9"/>
              <w:left w:val="single" w:sz="4" w:color="D9D9D9"/>
              <w:bottom w:val="single" w:sz="4" w:color="D9D9D9"/>
              <w:right w:val="single" w:sz="4" w:color="D9D9D9"/>
            </w:tcBorders>
            <w:shd w:fill="183B56"/>
            <w:tcMar>
              <w:top w:w="85" w:type="dxa"/>
              <w:left w:w="85" w:type="dxa"/>
              <w:bottom w:w="85" w:type="dxa"/>
              <w:right w:w="85" w:type="dxa"/>
            </w:tcMar>
          </w:tcPr>
          <w:p>
            <w:pPr>
              <w:spacing w:after="60"/>
            </w:pPr>
            <w:r>
              <w:rPr>
                <w:b/>
                <w:color w:val="FFFFFF"/>
                <w:sz w:val="18"/>
              </w:rPr>
              <w:t>First year USD</w:t>
            </w:r>
          </w:p>
        </w:tc>
      </w:tr>
      <w:tr>
        <w:tc>
          <w:tcPr>
            <w:tcW w:type="dxa" w:w="381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Enterprise annual seats</w:t>
            </w:r>
          </w:p>
        </w:tc>
        <w:tc>
          <w:tcPr>
            <w:tcW w:type="dxa" w:w="15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60</w:t>
            </w:r>
          </w:p>
        </w:tc>
        <w:tc>
          <w:tcPr>
            <w:tcW w:type="dxa" w:w="201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1,080</w:t>
            </w:r>
          </w:p>
        </w:tc>
        <w:tc>
          <w:tcPr>
            <w:tcW w:type="dxa" w:w="216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64,800</w:t>
            </w:r>
          </w:p>
        </w:tc>
      </w:tr>
      <w:tr>
        <w:tc>
          <w:tcPr>
            <w:tcW w:type="dxa" w:w="381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Enhanced P1 support</w:t>
            </w:r>
          </w:p>
        </w:tc>
        <w:tc>
          <w:tcPr>
            <w:tcW w:type="dxa" w:w="15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1 organization</w:t>
            </w:r>
          </w:p>
        </w:tc>
        <w:tc>
          <w:tcPr>
            <w:tcW w:type="dxa" w:w="201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4,800</w:t>
            </w:r>
          </w:p>
        </w:tc>
        <w:tc>
          <w:tcPr>
            <w:tcW w:type="dxa" w:w="216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4,800</w:t>
            </w:r>
          </w:p>
        </w:tc>
      </w:tr>
      <w:tr>
        <w:tc>
          <w:tcPr>
            <w:tcW w:type="dxa" w:w="381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Implementation</w:t>
            </w:r>
          </w:p>
        </w:tc>
        <w:tc>
          <w:tcPr>
            <w:tcW w:type="dxa" w:w="15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1 fixed package</w:t>
            </w:r>
          </w:p>
        </w:tc>
        <w:tc>
          <w:tcPr>
            <w:tcW w:type="dxa" w:w="201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9,600</w:t>
            </w:r>
          </w:p>
        </w:tc>
        <w:tc>
          <w:tcPr>
            <w:tcW w:type="dxa" w:w="216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9,600</w:t>
            </w:r>
          </w:p>
        </w:tc>
      </w:tr>
      <w:tr>
        <w:tc>
          <w:tcPr>
            <w:tcW w:type="dxa" w:w="381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First-year supplier fees</w:t>
            </w:r>
          </w:p>
        </w:tc>
        <w:tc>
          <w:tcPr>
            <w:tcW w:type="dxa" w:w="15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r>
          </w:p>
        </w:tc>
        <w:tc>
          <w:tcPr>
            <w:tcW w:type="dxa" w:w="201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r>
          </w:p>
        </w:tc>
        <w:tc>
          <w:tcPr>
            <w:tcW w:type="dxa" w:w="216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pPr>
            <w:r>
              <w:rPr>
                <w:b w:val="0"/>
                <w:color w:val="172B4D"/>
                <w:sz w:val="18"/>
              </w:rPr>
              <w:t>79,200</w:t>
            </w:r>
          </w:p>
        </w:tc>
      </w:tr>
      <w:tr>
        <w:tc>
          <w:tcPr>
            <w:tcW w:type="dxa" w:w="381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Annual recurring at same scope and rates</w:t>
            </w:r>
          </w:p>
        </w:tc>
        <w:tc>
          <w:tcPr>
            <w:tcW w:type="dxa" w:w="1584"/>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r>
          </w:p>
        </w:tc>
        <w:tc>
          <w:tcPr>
            <w:tcW w:type="dxa" w:w="2016"/>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r>
          </w:p>
        </w:tc>
        <w:tc>
          <w:tcPr>
            <w:tcW w:type="dxa" w:w="2160"/>
            <w:tcBorders>
              <w:top w:val="single" w:sz="4" w:color="D9D9D9"/>
              <w:left w:val="single" w:sz="4" w:color="D9D9D9"/>
              <w:bottom w:val="single" w:sz="4" w:color="D9D9D9"/>
              <w:right w:val="single" w:sz="4" w:color="D9D9D9"/>
            </w:tcBorders>
            <w:shd w:fill="F1F5F9"/>
            <w:tcMar>
              <w:top w:w="85" w:type="dxa"/>
              <w:left w:w="85" w:type="dxa"/>
              <w:bottom w:w="85" w:type="dxa"/>
              <w:right w:w="85" w:type="dxa"/>
            </w:tcMar>
          </w:tcPr>
          <w:p>
            <w:pPr>
              <w:spacing w:after="60"/>
            </w:pPr>
            <w:r>
              <w:rPr>
                <w:b w:val="0"/>
                <w:color w:val="172B4D"/>
                <w:sz w:val="18"/>
              </w:rPr>
              <w:t>69,600</w:t>
            </w:r>
          </w:p>
        </w:tc>
      </w:tr>
    </w:tbl>
    <w:p>
      <w:r>
        <w:t>Subscription and selected support are invoiced annually at start, USD 69,600 before tax. Implementation is invoiced USD 4,800 at kickoff and USD 4,800 after documented acceptance. The supplier-offered payment term is net 30; AsterVale’s draft net 60 remains unchanged by Q18 and is not accepted by this quote. Implementation does not recur at renewal. Renewal uses the agreed order terms or then-current approved rates; USD 69,600 is the unchanged-rate recurring amount, not an unconditional future price freeze.</w:t>
      </w:r>
    </w:p>
    <w:p>
      <w:pPr>
        <w:pStyle w:val="Heading2"/>
      </w:pPr>
      <w:r>
        <w:t>5.2 Credits and expansion</w:t>
      </w:r>
    </w:p>
    <w:p>
      <w:r>
        <w:t>The 60 seats include 60 × 300,000 = 18,000,000 annual Enterprise Credits pooled across the organization. Unused included and purchased Credits expire at term end and do not roll over. Administrators receive in-app and email alerts at 80% and 95% of the approved allowance including purchased packs. At 100%, new Credit-consuming tasks are blocked and running tasks pause before the next chargeable action. Saved artifacts remain viewable, downloadable and exportable, with administrator access during the active term.</w:t>
      </w:r>
    </w:p>
    <w:p>
      <w:r>
        <w:t>An optional 250,000-Credit pack costs USD 600 and requires written approval by an authorized customer purchaser. No pack or automatic overage purchase is included in the quoted commitment. Consumption depends on input size, output and iteration; Credits do not guarantee a number of documents. Published workload ranges in the pricing guide are planning estimates for the specified workload, one draft and one revision, and are not measured AsterVale consumption or production metering guarantees.</w:t>
      </w:r>
    </w:p>
    <w:p>
      <w:r>
        <w:t>Added Enterprise seats cost USD 1,080 annually, prorated by remaining whole months and co-terminating with the subscription after a written amendment. For example, five seats with six whole months remaining cost 5 × 1,080 × 6/12 = USD 2,700 before tax; proportional annual allowance is 5 × 300,000 × 6/12 = 750,000 Credits expiring at the same term end. The order must expressly state the whole-month proration basis for both seats and Credits. Seat reductions apply at renewal unless otherwise agreed; seat reassignment follows the offboarding process.</w:t>
      </w:r>
    </w:p>
    <w:p>
      <w:pPr>
        <w:pStyle w:val="Heading2"/>
      </w:pPr>
      <w:r>
        <w:t>5.3 Inclusions exclusions and evaluation cost</w:t>
      </w:r>
    </w:p>
    <w:p>
      <w:r>
        <w:t>The quoted scope includes the approved hosted model route, standard support, selected P1 enhancement and the fixed implementation deliverables in chapter 4. It excludes extra Credit packs, third-party subscriptions, custom APIs/connectors, bulk migration above 200 selected documents, data cleansing, onsite work, dedicated infrastructure, custom models and additional workflows. An external provider’s license is not supplied by connector availability. Custom work needs an agreed SOW with deliverable, owner, price, schedule and acceptance effects before chargeable execution.</w:t>
      </w:r>
    </w:p>
    <w:p>
      <w:r>
        <w:t>The first-year fee is supplier spend only. AsterVale’s internal source preparation, configuration, attendance, adoption and ongoing administration are separate from this quotation and should be included in its business case. No wider 420-person deployment or expansion benefit is included. Written pilot conditions must identify any proposed evaluation fee before acceptance; the pilot neither starts annual billing nor constitutes paid implementation.</w:t>
      </w:r>
    </w:p>
    <w:p>
      <w:r/>
    </w:p>
    <w:p>
      <w:bookmarkStart w:id="6" w:name="chapter6"/>
      <w:pPr>
        <w:pStyle w:val="Heading1"/>
      </w:pPr>
      <w:r>
        <w:t>6 Contract differences</w:t>
      </w:r>
      <w:bookmarkEnd w:id="6"/>
    </w:p>
    <w:p>
      <w:pPr>
        <w:pStyle w:val="Heading2"/>
      </w:pPr>
      <w:r>
        <w:t>6.1 Basis of proposed differences</w:t>
      </w:r>
    </w:p>
    <w:p>
      <w:r>
        <w:t>This is a qualified proposal, not unqualified acceptance of Attachment B. The clause-specific wording below is offered for negotiation only. If Addendum 01 is verified as issued and operative, it changes only the provisions it expressly identifies; Q14, Q18 and Q19 leave incident notice, payment, liability and convenience termination unchanged. The supplied quote does not accept those terms. The executed agreement, order and identified amendments must resolve precedence and the processing schedule before production. No proposed deviation is accepted merely because it is disclosed.</w:t>
      </w:r>
    </w:p>
    <w:p>
      <w:pPr>
        <w:pStyle w:val="Heading2"/>
      </w:pPr>
      <w:r>
        <w:t>6.2 Contract documents and changes</w:t>
      </w:r>
    </w:p>
    <w:p>
      <w:r>
        <w:t>Customer reference: AsterVale_Service_Agreement.docx v1.0, 1.4 / 2.2.</w:t>
      </w:r>
    </w:p>
    <w:p>
      <w:r>
        <w:t>Proposed wording: For personal data, the agreed DPA takes precedence. A negotiated amendment identifies the clause it changes; the order governs quantities and dates. Material changes requiring customer action receive reasonable advance notice, with earlier security fixes permitted with proportionate notice. A fixed 60-day guarantee for every third-party API or UI change is not offered.</w:t>
      </w:r>
    </w:p>
    <w:p>
      <w:r>
        <w:t>Reason and effect: Keeps data obligations and scope unambiguous; avoids promising control over external-provider changes. No price adjustment is included.</w:t>
      </w:r>
    </w:p>
    <w:p>
      <w:pPr>
        <w:pStyle w:val="Heading2"/>
      </w:pPr>
      <w:r>
        <w:t>6.3 Acceptance and remediation</w:t>
      </w:r>
    </w:p>
    <w:p>
      <w:r>
        <w:t>Customer reference: AsterVale_Service_Agreement.docx v1.0, 3.1–3.3.</w:t>
      </w:r>
    </w:p>
    <w:p>
      <w:r>
        <w:t>Proposed wording: Provide the milestone schedule within five Business Days of kickoff. Use ten Business Days after a complete evidence submission for written acceptance or specific rejection. Where a material defect cannot reasonably be corrected within ten Business Days, agree a dated remediation plan and retest affected criteria. Silence or trial use is not acceptance under the proposed customer procedure.</w:t>
      </w:r>
    </w:p>
    <w:p>
      <w:r>
        <w:t>Reason and effect: Replaces the standard deemed-acceptance mechanism with an explicit decision process. Late input or review affects dependent milestones and acceptance billing; changes require documented impact.</w:t>
      </w:r>
    </w:p>
    <w:p>
      <w:pPr>
        <w:pStyle w:val="Heading2"/>
      </w:pPr>
      <w:r>
        <w:t>6.4 Payment and seat proration</w:t>
      </w:r>
    </w:p>
    <w:p>
      <w:r>
        <w:t>Customer reference: AsterVale_Service_Agreement.docx v1.0, 4.2 / 4.4.</w:t>
      </w:r>
    </w:p>
    <w:p>
      <w:r>
        <w:t>Proposed wording: Customer shall pay undisputed invoices within 30 days after receipt. A specific good-faith dispute is notified within 15 days and does not delay the undisputed portion. Midterm seats and allowance are prorated by remaining whole months at contracted rates and co-terminate. Renewal requires an authorized order; proposed rate changes are disclosed at least 60 days ahead.</w:t>
      </w:r>
    </w:p>
    <w:p>
      <w:r>
        <w:t>Reason and effect: Q18 retains customer net 60; this offer is net 30. Acceptance of longer payment or different proration may require a revised commercial schedule. No automatic renewal is proposed.</w:t>
      </w:r>
    </w:p>
    <w:p>
      <w:pPr>
        <w:pStyle w:val="Heading2"/>
      </w:pPr>
      <w:r>
        <w:t>6.5 Incident notification</w:t>
      </w:r>
    </w:p>
    <w:p>
      <w:r>
        <w:t>Customer reference: AsterVale_Service_Agreement.docx v1.0, 6.3.</w:t>
      </w:r>
    </w:p>
    <w:p>
      <w:r>
        <w:t>Proposed wording: Noumi will notify without undue delay and in any event within 48 hours after confirming that a Security Incident involves Customer Data. Initial notice includes then-available facts, affected categories, containment and a coordination contact. Noumi provides material updates and preserves evidence without waiting for a completed investigation.</w:t>
      </w:r>
    </w:p>
    <w:p>
      <w:r>
        <w:t>Reason and effect: Replaces the 24-hour awareness trigger and prescribed daily cadence with confirmed-data-impact notice and material updates. Q14 leaves the customer position unchanged; no acceptance of this alternative is asserted.</w:t>
      </w:r>
    </w:p>
    <w:p>
      <w:pPr>
        <w:pStyle w:val="Heading2"/>
      </w:pPr>
      <w:r>
        <w:t>6.6 Output rights and infringement</w:t>
      </w:r>
    </w:p>
    <w:p>
      <w:r>
        <w:t>Customer reference: AsterVale_Service_Agreement.docx v1.0, 8.1 / 8.2 / 10.1–10.3.</w:t>
      </w:r>
    </w:p>
    <w:p>
      <w:r>
        <w:t>Proposed wording: Customer retains input rights and receives Noumi rights, if any, in outputs and agreed paid bespoke deliverables, subject to third-party rights. Noumi retains pre-existing technology and grants a perpetual right to use incorporated necessary materials with the paid deliverable. Service infringement protection covers authorized unmodified use, excluding customer inputs, unauthorized modifications and combinations not supplied or required by Noumi. Continue use rights, replacement/modification or refund of the unusable remaining term are the proposed remedies.</w:t>
      </w:r>
    </w:p>
    <w:p>
      <w:r>
        <w:t>Reason and effect: No unconditional uniqueness or universal noninfringement warranty is made for generative output. Third-party restrictions are disclosed. The customer reviews outputs. Indemnities are subject to the appropriate cap below and defense control/settlement protections remain.</w:t>
      </w:r>
    </w:p>
    <w:p>
      <w:pPr>
        <w:pStyle w:val="Heading2"/>
      </w:pPr>
      <w:r>
        <w:t>6.7 Liability allocation</w:t>
      </w:r>
    </w:p>
    <w:p>
      <w:r>
        <w:t>Customer reference: AsterVale_Service_Agreement.docx v1.0, 10.2 / 11.1–11.3.</w:t>
      </w:r>
    </w:p>
    <w:p>
      <w:r>
        <w:t>Proposed wording: General aggregate liability is limited to affected-order fees paid or payable in the twelve months preceding the event; during the first twelve months, use that Order’s first-year fees. Confidentiality and data claims, including related indemnities, have a separate aggregate cap of two times annual affected-order fees without double recovery. Other indemnities follow the general cap unless the underlying conduct is nonexcludable. Fraud, willful misconduct and liabilities unlawful to limit remain uncapped; payment duties are not reduced. Indirect/consequential loss and lost profit, revenue or anticipated savings are excluded to the lawful extent, while reasonable direct incident response and restoration costs remain within the applicable cap.</w:t>
      </w:r>
    </w:p>
    <w:p>
      <w:r>
        <w:t>Reason and effect: If Q19 is verified, it does not amend the customer’s three-times general cap or uncapped categories. Using the unverified quote-file first-year figure including implementation solely as an illustration, the proposed 1× general basis would be USD 79,200 and the 2× data/confidentiality basis USD 158,400; a 3× customer general basis on that same illustrative fee base would be USD 237,600. The affected-Order fee definition and treatment of implementation must be reconciled. These are source-file calculations, not approved exposure limits, insurance coverage or agreed caps.</w:t>
      </w:r>
    </w:p>
    <w:p>
      <w:pPr>
        <w:pStyle w:val="Heading2"/>
      </w:pPr>
      <w:r>
        <w:t>6.8 Term and convenience termination</w:t>
      </w:r>
    </w:p>
    <w:p>
      <w:r>
        <w:t>Customer reference: AsterVale_Service_Agreement.docx v1.0, 12.1 / 12.3.</w:t>
      </w:r>
    </w:p>
    <w:p>
      <w:r>
        <w:t>Proposed wording: The twelve-month subscription is committed and has no general midterm convenience termination right. Renewal requires an authorized order. Express material-breach, agreed service-failure and nonexcludable termination rights remain. Additional transition work is scoped and priced by agreement.</w:t>
      </w:r>
    </w:p>
    <w:p>
      <w:r>
        <w:t>Reason and effect: Removes the requested 30-day convenience termination and daily refund right. Q19 leaves that customer request unchanged. Cancelable commitments or extra refunds would require revised terms and possible repricing.</w:t>
      </w:r>
    </w:p>
    <w:p>
      <w:pPr>
        <w:pStyle w:val="Heading2"/>
      </w:pPr>
      <w:r>
        <w:t>6.9 Audit safeguards</w:t>
      </w:r>
    </w:p>
    <w:p>
      <w:r>
        <w:t>Customer reference: AsterVale_Service_Agreement.docx v1.0, 13.1.</w:t>
      </w:r>
    </w:p>
    <w:p>
      <w:r>
        <w:t>Proposed wording: Provide one reasonable documentary review annually. A material unresolved concern, security incident or regulator requirement may support proportionate further review by a qualified independent reviewer on reasonable notice, with confidentiality, scope and security safeguards. Routine reviews are at customer cost; supplier remedies its established material noncompliance. No unapproved penetration test or access to other customer information is allowed.</w:t>
      </w:r>
    </w:p>
    <w:p>
      <w:r>
        <w:t>Reason and effect: Replaces unrestricted frequency and shared-system/facility access with a staged review protecting other customers and security. No independent certificate is offered in place of missing assurance.</w:t>
      </w:r>
    </w:p>
    <w:p>
      <w:pPr>
        <w:pStyle w:val="Heading2"/>
      </w:pPr>
      <w:r>
        <w:t>6.10 Availability credits and recovery</w:t>
      </w:r>
    </w:p>
    <w:p>
      <w:r>
        <w:t>Customer reference: AsterVale_Service_Agreement.docx v1.0, Schedule 2.</w:t>
      </w:r>
    </w:p>
    <w:p>
      <w:r>
        <w:t>Proposed wording: If Addendum 01 is verified as operative, use 99.5% monthly availability and RTO 8h / RPO 24h objectives under Q11/Q12; these recovery values are not guaranteed restoration deadlines. Covered functions, eligible minutes, proposed exclusions, 48-hour maintenance notice and four-hour monthly maintenance cap are stated in §4.4. Credits use the affected monthly subscription fee, with 5%/10%/20% bands and a 20% monthly cap; exclude implementation, tax and third-party charges. Claim within 30 days after the month; supplier reviews within 15 Business Days and credits the next invoice or refunds if none remains. The remaining measurement and remedy mechanics must be reconciled in the final schedule; neither availability credits nor recovery objectives waive separate security/confidentiality remedies or permit double recovery.</w:t>
      </w:r>
    </w:p>
    <w:p>
      <w:r>
        <w:t>Reason and effect: Customer Schedule 2 uses affected recurring fees; our proposal uses subscription fees. At this quote the proposed monthly base is USD 5,400, with band credits USD 270 / 540 / 1,080, versus USD 5,800 if subscription and P1 support both form the base. These remaining mechanics are not resolved by Q11.</w:t>
      </w:r>
    </w:p>
    <w:p>
      <w:pPr>
        <w:pStyle w:val="Heading2"/>
      </w:pPr>
      <w:r>
        <w:t>6.11 Processing exit and unchanged protections</w:t>
      </w:r>
    </w:p>
    <w:p>
      <w:r>
        <w:t>Customer reference: AsterVale_Service_Agreement.docx v1.0, 5.2 / 6.1 / 12.5 / 13.2 / Schedule 3.</w:t>
      </w:r>
    </w:p>
    <w:p>
      <w:r>
        <w:t>Proposed wording: Retain no shared-model training, identified Singapore storage/backups/model route, 30-day subprocessor change notice and the agreed objection mechanism. Export is available for 30 days after termination; primary deletion completes within the next 30 days and residual backups expire within a further 35 days. Reapply deletions after restore and restrict lawful retention and applicable security logs. Customer-selected Microsoft services and overseas user downloads remain separately controlled.</w:t>
      </w:r>
    </w:p>
    <w:p>
      <w:r>
        <w:t>Reason and effect: Q13, Q16 and Q17 clarify these positions. They do not grant blanket approval of additional routes or shorten all retention to 30 days. Security approval remains tied to the agreed data and configuration.</w:t>
      </w:r>
    </w:p>
    <w:p>
      <w:r>
        <w:t>The final agreement must also reconcile notice contacts, contracting legal identities, support severity definitions, dispute escalation and all incorporated schedules. The parties retain confidentiality, publicity consent, authorized change control and protections that are consistent with the final agreed service. A technical recommendation or successful pilot does not approve contract language or authorize an order.</w:t>
      </w:r>
    </w:p>
    <w:p>
      <w:pPr>
        <w:pStyle w:val="Heading2"/>
        <w:pageBreakBefore/>
      </w:pPr>
      <w:r>
        <w:t>6.12 Incident definitions and general provisions</w:t>
      </w:r>
    </w:p>
    <w:p>
      <w:r>
        <w:t>Customer reference: AsterVale_Service_Agreement.docx v1.0, §1.3.</w:t>
      </w:r>
    </w:p>
    <w:p>
      <w:r>
        <w:t>Difference: Customer Critical Incident includes confirmed unauthorized access and most-user outage; Noumi P1 is production-wide outage without workaround. Security notice is a separate process.</w:t>
      </w:r>
    </w:p>
    <w:p>
      <w:r>
        <w:t>Proposed wording: Retain Business Day and define service P1 separately from a Customer Data security incident; apply purchased P1 response coverage only to the agreed P1 service definition.</w:t>
      </w:r>
    </w:p>
    <w:p>
      <w:r>
        <w:t>Reason and effect: Prevents the enhanced service support promise being extended silently to every security investigation.</w:t>
      </w:r>
    </w:p>
    <w:p>
      <w:pPr>
        <w:keepNext/>
      </w:pPr>
      <w:r>
        <w:t>Customer reference: AsterVale_Service_Agreement.docx v1.0, §14.3.</w:t>
      </w:r>
    </w:p>
    <w:p>
      <w:r>
        <w:t>Difference: Customer draft preserves data protection duties but omits standard termination after 30 consecutive days of material force majeure.</w:t>
      </w:r>
    </w:p>
    <w:p>
      <w:r>
        <w:t>Proposed wording: Retain notice, mitigation and continuing protection; add either party’s right to terminate the affected portion after 30 consecutive days of material prevention with prepaid unused fees refunded.</w:t>
      </w:r>
    </w:p>
    <w:p>
      <w:r>
        <w:t>Reason and effect: Creates a bounded exit and refund right for prolonged prevention.</w:t>
      </w:r>
    </w:p>
    <w:p>
      <w:r>
        <w:t>Customer reference: AsterVale_Service_Agreement.docx v1.0, §14.5.</w:t>
      </w:r>
    </w:p>
    <w:p>
      <w:r>
        <w:t>Difference: Customer escalates from commercial leads after ten Business Days; standard gives senior representatives 30 days after written escalation and exclusive Singapore courts.</w:t>
      </w:r>
    </w:p>
    <w:p>
      <w:r>
        <w:t>Proposed wording: Use commercial leads first, senior management after ten Business Days, and a 30-day good-faith senior review period; preserve urgent protective relief and exclusive Singapore courts.</w:t>
      </w:r>
    </w:p>
    <w:p>
      <w:r>
        <w:t>Reason and effect: Defines escalation timing; no pricing effect identified.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AV-RFP-2026-17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ASTERVALE  /  NOUMI ENTERPRISE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02A4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02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02A43"/>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AsterVale RFP response</dc:title>
  <dc:subject>AsterVale AV-RFP-2026-17</dc:subject>
  <dc:creator>Noumi</dc:creator>
  <cp:keywords/>
  <dc:description/>
  <cp:lastModifiedBy/>
  <cp:revision>1</cp:revision>
  <dcterms:created xsi:type="dcterms:W3CDTF">2013-12-23T23:15:00Z</dcterms:created>
  <dcterms:modified xsi:type="dcterms:W3CDTF">2013-12-23T23:15:00Z</dcterms:modified>
  <cp:category/>
</cp:coreProperties>
</file>