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" w:after="80"/>
      </w:pPr>
      <w:r>
        <w:rPr>
          <w:rFonts w:ascii="Calibri" w:hAnsi="Calibri"/>
          <w:b/>
          <w:color w:val="2E74B5"/>
          <w:sz w:val="18"/>
        </w:rPr>
        <w:t>INTERNAL STAKEHOLDER BRIEF</w:t>
      </w:r>
    </w:p>
    <w:p>
      <w:pPr>
        <w:keepNext/>
        <w:spacing w:after="80"/>
      </w:pPr>
      <w:r>
        <w:t>AsterVale | AV-2026-041</w:t>
      </w:r>
    </w:p>
    <w:p>
      <w:pPr>
        <w:keepNext/>
        <w:spacing w:after="220"/>
      </w:pPr>
      <w:r>
        <w:rPr>
          <w:rFonts w:ascii="Calibri" w:hAnsi="Calibri"/>
          <w:color w:val="526779"/>
          <w:sz w:val="26"/>
        </w:rPr>
        <w:t>RFP AV-RFP-2026-17  •  Procurement, pilot and award readiness</w:t>
      </w:r>
    </w:p>
    <w:p>
      <w:pPr>
        <w:pStyle w:val="Metadata"/>
        <w:keepNext/>
      </w:pPr>
      <w:r>
        <w:rPr>
          <w:rFonts w:ascii="Calibri" w:hAnsi="Calibri"/>
          <w:b/>
          <w:color w:val="0B2545"/>
          <w:sz w:val="19"/>
        </w:rPr>
        <w:t xml:space="preserve">Prepared from: </w:t>
      </w:r>
      <w:r>
        <w:rPr>
          <w:rFonts w:ascii="Calibri" w:hAnsi="Calibri"/>
          <w:color w:val="526779"/>
          <w:sz w:val="19"/>
        </w:rPr>
        <w:t>Opportunity record, RFP response and evaluation transcript</w:t>
      </w:r>
    </w:p>
    <w:p>
      <w:pPr>
        <w:pStyle w:val="Metadata"/>
        <w:keepNext/>
      </w:pPr>
      <w:r>
        <w:rPr>
          <w:rFonts w:ascii="Calibri" w:hAnsi="Calibri"/>
          <w:b/>
          <w:color w:val="0B2545"/>
          <w:sz w:val="19"/>
        </w:rPr>
        <w:t xml:space="preserve">Preparation date: </w:t>
      </w:r>
      <w:r>
        <w:rPr>
          <w:rFonts w:ascii="Calibri" w:hAnsi="Calibri"/>
          <w:color w:val="526779"/>
          <w:sz w:val="19"/>
        </w:rPr>
        <w:t>30 September 2026</w:t>
      </w:r>
    </w:p>
    <w:p>
      <w:pPr>
        <w:pStyle w:val="Metadata"/>
        <w:keepNext/>
      </w:pPr>
      <w:r>
        <w:rPr>
          <w:rFonts w:ascii="Calibri" w:hAnsi="Calibri"/>
          <w:b/>
          <w:color w:val="0B2545"/>
          <w:sz w:val="19"/>
        </w:rPr>
        <w:t xml:space="preserve">Classification: </w:t>
      </w:r>
      <w:r>
        <w:rPr>
          <w:rFonts w:ascii="Calibri" w:hAnsi="Calibri"/>
          <w:color w:val="526779"/>
          <w:sz w:val="19"/>
        </w:rPr>
        <w:t>Noumi internal  |  USD</w:t>
      </w:r>
    </w:p>
    <w:p>
      <w:pPr>
        <w:keepLines/>
        <w:spacing w:before="180" w:after="180"/>
        <w:ind w:left="173" w:right="173"/>
        <w:shd w:fill="FFF8E8"/>
        <w:ind w:left="180" w:right="180"/>
      </w:pPr>
      <w:r>
        <w:t>Chronology check required. As of 30 September 2026, the RFP and opportunity brief are dated 1 October, the Official Q&amp;A/Addendum 01 is dated 9 October, the response is dated 14 October, and the evaluation transcript is dated 22 October. These records post-date this preparation date; their dates, events and commitments are source-recorded, not independently verified as current or completed. Confirm chronology and response/demo status before circulation or acting on the MAP.</w:t>
      </w:r>
    </w:p>
    <w:p>
      <w:pPr>
        <w:pStyle w:val="Heading1"/>
      </w:pPr>
      <w:r>
        <w:t>1. Executive readout</w:t>
      </w:r>
    </w:p>
    <w:p>
      <w:r>
        <w:rPr>
          <w:b/>
        </w:rPr>
        <w:t xml:space="preserve">Opportunity: </w:t>
      </w:r>
      <w:r>
        <w:t>AsterVale is evaluating a managed AI workspace for proposal and client-meeting preparation. The documented first cohort is 60 users across Singapore and London. No supplier selection or award is established in the supplied records.</w:t>
      </w:r>
    </w:p>
    <w:p>
      <w:r>
        <w:rPr>
          <w:b/>
        </w:rPr>
        <w:t xml:space="preserve">Recommended internal posture: </w:t>
      </w:r>
      <w:r>
        <w:t>Keep the opportunity evidence-led and conditional. Lead with cross-task context reuse, inspectable scoped preferences, and editable deliverables; treat security/data processing, unresolved contract terms, customer budget approval, and an explicitly authorized pilot as separate gates. A successful workflow test is not a security approval, award, or signature.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Customer need. </w:t>
      </w:r>
      <w:r>
        <w:t>Buyer outcome is repeatable preparation with source traceability and stable reviewer quality, not a speed claim detached from review effort.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Baseline. </w:t>
      </w:r>
      <w:r>
        <w:t>AsterVale’s reviewed workload baseline is 816 preparation hours per month across 152 mutually exclusive packages; $85/hour is a staff-capacity valuation, not a client billing rate or cash-saving measure.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Business case. </w:t>
      </w:r>
      <w:r>
        <w:t>The 35% improvement and 70% adoption figures are planning assumptions for pilot/business-case testing only. No organization-wide result or headcount reduction is established.</w:t>
      </w:r>
    </w:p>
    <w:p>
      <w:pPr>
        <w:pStyle w:val="SourceNote"/>
        <w:keepLines/>
      </w:pPr>
      <w:r>
        <w:rPr>
          <w:i/>
          <w:color w:val="526779"/>
          <w:sz w:val="17"/>
        </w:rPr>
        <w:t>Sources: Opportunity Brief (1 Oct 2026); RFP AV-RFP-2026-17 (1 Oct); Official Q&amp;A/Addendum 01 (9 Oct); RFP response (14 Oct); evaluation transcript (22 Oct); CRM_Opportunity_History.csv (selected records). Internal synthesis; post-dated procurement records are chronology-unverified as of 30 Sep 2026.</w:t>
      </w:r>
    </w:p>
    <w:p>
      <w:pPr>
        <w:pStyle w:val="Heading2"/>
        <w:keepNext/>
      </w:pPr>
      <w:r>
        <w:t>Decisions to resolve first</w:t>
      </w:r>
    </w:p>
    <w:p>
      <w:pPr>
        <w:keepNext/>
      </w:pPr>
      <w:r>
        <w:t>Before any external follow-up or pilot action, resolve these separate gates:</w:t>
      </w:r>
    </w:p>
    <w:p>
      <w:pPr>
        <w:pStyle w:val="ListBullet"/>
        <w:keepLines/>
      </w:pPr>
      <w:r/>
      <w:r>
        <w:rPr>
          <w:b/>
        </w:rPr>
        <w:t xml:space="preserve">Chronology / procurement status: </w:t>
      </w:r>
      <w:r>
        <w:t>Maya Chen and Daniel Mercer should confirm which dated records are current, whether the response was received, the live procurement stage, final signing authority and a mutually agreed MAP baseline.</w:t>
      </w:r>
    </w:p>
    <w:p>
      <w:pPr>
        <w:pStyle w:val="ListBullet"/>
        <w:keepLines/>
      </w:pPr>
      <w:r/>
      <w:r>
        <w:rPr>
          <w:b/>
        </w:rPr>
        <w:t xml:space="preserve">Pilot access: </w:t>
      </w:r>
      <w:r>
        <w:t>Leila Tan and Omar Shah must confirm the approved limited data route and test-account readiness; written evaluation terms, permitted materials and any fee must be agreed before access.</w:t>
      </w:r>
    </w:p>
    <w:p>
      <w:pPr>
        <w:pStyle w:val="ListBullet"/>
        <w:keepLines/>
      </w:pPr>
      <w:r/>
      <w:r>
        <w:rPr>
          <w:b/>
        </w:rPr>
        <w:t xml:space="preserve">Business case / budget: </w:t>
      </w:r>
      <w:r>
        <w:t>Elena Ward owns pilot outcomes and recommends investment; Victor Hale reviews the business case and approves spend within allocation. The $125,000 ceiling is not spend approval.</w:t>
      </w:r>
    </w:p>
    <w:p>
      <w:pPr>
        <w:pStyle w:val="ListBullet"/>
        <w:keepLines/>
      </w:pPr>
      <w:r/>
      <w:r>
        <w:rPr>
          <w:b/>
        </w:rPr>
        <w:t xml:space="preserve">Award / contract: </w:t>
      </w:r>
      <w:r>
        <w:t>Maya Chen coordinates the selection record and legal review; unresolved terms and the authorized signatory must be confirmed. A demo, pilot or workflow-owner acceptance is not award or signature.</w:t>
      </w:r>
    </w:p>
    <w:p>
      <w:pPr>
        <w:pStyle w:val="Heading1"/>
      </w:pPr>
      <w:r>
        <w:t>2. Buying priorities and proof points</w:t>
      </w:r>
    </w:p>
    <w:p>
      <w:r>
        <w:t>RFP scoring weights are the customer’s published evaluation structure. Use them to order evidence, not to predict a score or award. The first three areas account for 65% of the stated weighting.</w:t>
      </w:r>
    </w:p>
    <w:p>
      <w:pPr>
        <w:pStyle w:val="Heading2"/>
        <w:keepNext/>
      </w:pPr>
      <w:r>
        <w:t>Historical CRM signals (qualitative, not predictive)</w:t>
      </w:r>
    </w:p>
    <w:p>
      <w:pPr>
        <w:keepNext/>
      </w:pPr>
      <w:r>
        <w:t>Use CRM outcomes to shape the proof plan, not to predict AsterVale’s decision. Buyer confirmation and product edition matter; the records describe qualitative feedback and do not establish measured performance.</w:t>
      </w:r>
    </w:p>
    <w:p>
      <w:pPr>
        <w:pStyle w:val="ListBullet"/>
        <w:keepLines/>
      </w:pPr>
      <w:r/>
      <w:r>
        <w:rPr>
          <w:b/>
        </w:rPr>
        <w:t xml:space="preserve">Relevant win: </w:t>
      </w:r>
      <w:r>
        <w:t>OP-2026-0140 (Noumi Enterprise 2026.3 vs Crestline Workbench 6.1) was a buyer-confirmed win where the same approved change appeared in an RFP response and meeting material. This is a close workflow analogue, not a forecast or savings result.</w:t>
      </w:r>
    </w:p>
    <w:p>
      <w:pPr>
        <w:pStyle w:val="ListBullet"/>
        <w:keepLines/>
      </w:pPr>
      <w:r/>
      <w:r>
        <w:rPr>
          <w:b/>
        </w:rPr>
        <w:t xml:space="preserve">Counter-signal: </w:t>
      </w:r>
      <w:r>
        <w:t>OP-2026-0107 (Noumi Enterprise 2026.3 vs Crestline Workbench 6.2) was a buyer-confirmed loss because the buyer required Notion write-back rather than maintaining a second copy. Treat it as a competitor trade-off to probe, not as evidence that AsterVale requires Notion synchronization.</w:t>
      </w:r>
    </w:p>
    <w:p>
      <w:pPr>
        <w:pStyle w:val="ListBullet"/>
        <w:keepLines/>
      </w:pPr>
      <w:r/>
      <w:r>
        <w:rPr>
          <w:b/>
        </w:rPr>
        <w:t xml:space="preserve">Separate no-decision: </w:t>
      </w:r>
      <w:r>
        <w:t>OP-2026-0139 records a buyer-confirmed procurement deferral tied to a renewal calendar; it is not a competitive loss. CRM price comparisons are not reliable because competing schedules were not retained and taxes, overages and customer effort were excluded.</w:t>
      </w:r>
    </w:p>
    <w:p>
      <w:pPr>
        <w:pStyle w:val="Caption"/>
        <w:keepLines/>
      </w:pPr>
      <w:r>
        <w:rPr>
          <w:i/>
          <w:sz w:val="17"/>
        </w:rPr>
        <w:t>Source: CRM_Opportunity_History.csv; fields include opportunity_id, outcome, primary_reason, buyer_quote, confirmation_level, reason_source_reference and version_evaluation_basis. Qualitative buyer rationale; no quantified outcome established.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6DDE5"/>
          <w:left w:val="single" w:sz="4" w:space="0" w:color="D6DDE5"/>
          <w:bottom w:val="single" w:sz="4" w:space="0" w:color="D6DDE5"/>
          <w:right w:val="single" w:sz="4" w:space="0" w:color="D6DDE5"/>
          <w:insideH w:val="single" w:sz="4" w:space="0" w:color="D6DDE5"/>
          <w:insideV w:val="single" w:sz="4" w:space="0" w:color="D6DDE5"/>
        </w:tblBorders>
      </w:tblPr>
      <w:tblGrid>
        <w:gridCol w:w="800"/>
        <w:gridCol w:w="2800"/>
        <w:gridCol w:w="1200"/>
        <w:gridCol w:w="4560"/>
      </w:tblGrid>
      <w:tr>
        <w:trPr>
          <w:tblHeader w:val="true"/>
          <w:cantSplit/>
        </w:trPr>
        <w:tc>
          <w:tcPr>
            <w:tcW w:type="dxa" w:w="8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Header"/>
            </w:pPr>
            <w:r>
              <w:t>Rank</w:t>
            </w:r>
          </w:p>
        </w:tc>
        <w:tc>
          <w:tcPr>
            <w:tcW w:type="dxa" w:w="28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Header"/>
            </w:pPr>
            <w:r>
              <w:t>RFP evaluation area</w:t>
            </w:r>
          </w:p>
        </w:tc>
        <w:tc>
          <w:tcPr>
            <w:tcW w:type="dxa" w:w="1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Header"/>
            </w:pPr>
            <w:r>
              <w:t>Weight</w:t>
            </w:r>
          </w:p>
        </w:tc>
        <w:tc>
          <w:tcPr>
            <w:tcW w:type="dxa" w:w="456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Header"/>
            </w:pPr>
            <w:r>
              <w:t>Priority / proof to bring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1</w:t>
            </w:r>
          </w:p>
        </w:tc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Project context and controlled memory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25%</w:t>
            </w:r>
          </w:p>
        </w:tc>
        <w:tc>
          <w:tcPr>
            <w:tcW w:type="dxa" w:w="4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Find current authorized files without re-upload; show sources; correct a visible preference and apply it in a new task; prove engagement boundaries and precedence of current instructions.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</w:t>
            </w:r>
          </w:p>
        </w:tc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Deliverable quality and editability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20%</w:t>
            </w:r>
          </w:p>
        </w:tc>
        <w:tc>
          <w:tcPr>
            <w:tcW w:type="dxa" w:w="4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Open and edit native DOCX/XLSX/PPTX; check evidence traceability, formulas, formatting rework and limitations. Advanced animation/embedded-object fidelity is not promised.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3</w:t>
            </w:r>
          </w:p>
        </w:tc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Security and administrative controls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20%</w:t>
            </w:r>
          </w:p>
        </w:tc>
        <w:tc>
          <w:tcPr>
            <w:tcW w:type="dxa" w:w="4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Document processing path, locations, subprocessors, access, retention, export/deletion and incident response. Production requires AsterVale security approval; pilot route review is conditional.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4</w:t>
            </w:r>
          </w:p>
        </w:tc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Total cost and commercial terms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15%</w:t>
            </w:r>
          </w:p>
        </w:tc>
        <w:tc>
          <w:tcPr>
            <w:tcW w:type="dxa" w:w="4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Show issued quote and exclusions; keep price, internal capacity costs, taxes, pilot terms and contract exceptions distinct. Quote is offered, not customer-accepted.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5</w:t>
            </w:r>
          </w:p>
        </w:tc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Integration and operational fit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10%</w:t>
            </w:r>
          </w:p>
        </w:tc>
        <w:tc>
          <w:tcPr>
            <w:tcW w:type="dxa" w:w="4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Microsoft 365/SAML scope and identity operations; no SCIM in quoted scope, no Notion two-way sync, and no external send without separate authorization.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6</w:t>
            </w:r>
          </w:p>
        </w:tc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Implementation and adoption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10%</w:t>
            </w:r>
          </w:p>
        </w:tc>
        <w:tc>
          <w:tcPr>
            <w:tcW w:type="dxa" w:w="4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Two workflows, limited migration/configuration, training, access tests, acceptance evidence and realistic customer dependencies; pilot is small and pre-award.</w:t>
            </w:r>
          </w:p>
        </w:tc>
      </w:tr>
    </w:tbl>
    <w:p>
      <w:pPr>
        <w:spacing w:after="20" w:before="20"/>
      </w:pPr>
    </w:p>
    <w:p>
      <w:pPr>
        <w:pStyle w:val="Heading1"/>
      </w:pPr>
      <w:r>
        <w:t>3. Decision roles and authority boundaries</w:t>
      </w:r>
    </w:p>
    <w:p>
      <w:r>
        <w:t>Customer responsibilities and authority below are documented in the opportunity record and RFP response. Do not infer signature authority beyond the stated roles.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Elena Ward — Director of Advisory Operations. </w:t>
      </w:r>
      <w:r>
        <w:t>Business sponsor; recommends investment and owns pilot outcomes. Cannot sign the contract alone.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Jonah Reed — Proposal Practice Lead. </w:t>
      </w:r>
      <w:r>
        <w:t>Owns proposal workflow requirements and accepts proposal workflow tests; no purchasing authority.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Rachel Bell — Engagement Director. </w:t>
      </w:r>
      <w:r>
        <w:t>Owns client-meeting workflow and accepts meeting-preparation tests; no purchasing authority.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Omar Shah — Head of Business Systems. </w:t>
      </w:r>
      <w:r>
        <w:t>Confirms technical readiness and controls identity/Microsoft 365 scope; may block unauthorized integrations. Identity provisioning gap remains relevant to rollout.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Leila Tan — Security and Privacy Lead. </w:t>
      </w:r>
      <w:r>
        <w:t>Must approve security conditions before production; reviews data flow, subprocessors, access and retention. A pilot-route review is not blanket production approval.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Maya Chen — Head of Procurement. </w:t>
      </w:r>
      <w:r>
        <w:t>Controls procurement communications and selection record; coordinates legal review. Final signing authority is not named and must be confirmed.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Victor Hale — Finance Director. </w:t>
      </w:r>
      <w:r>
        <w:t>Approves spend within the recorded project allocation and reviews business case; no review date is confirmed in the transcript.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Daniel Mercer — Noumi Account Director. </w:t>
      </w:r>
      <w:r>
        <w:t>Owns commercial response/coordination and may submit an approved quote; cannot unilaterally approve exceptions or represent a proposed term as accepted.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Priya Nair — Noumi Solutions Engineer. </w:t>
      </w:r>
      <w:r>
        <w:t>Coordinates solution, demo, implementation plan and evidence; cannot independently change price, security terms or contract liability.</w:t>
      </w:r>
    </w:p>
    <w:p>
      <w:pPr>
        <w:pStyle w:val="Heading1"/>
      </w:pPr>
      <w:r>
        <w:t>4. Decision gates, offer and open risks</w:t>
      </w:r>
    </w:p>
    <w:p>
      <w:pPr>
        <w:pStyle w:val="Heading2"/>
      </w:pPr>
      <w:r>
        <w:t>Documented scope and conditions (no acceptance inferred)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Scope. </w:t>
      </w:r>
      <w:r>
        <w:t>The source describes a 60-user first scope, two workflows and a managed Singapore cloud proposal; any wider 420-person rollout requires a separate business case.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Award. </w:t>
      </w:r>
      <w:r>
        <w:t>RFP final award requires acceptable data handling, agreed contract and budget approval. Procurement’s written award—not a positive business-user response or pilot invitation—controls selection.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Pilot. </w:t>
      </w:r>
      <w:r>
        <w:t>Pilot is pre-award and does not start annual subscription or production implementation. Access requires written evaluation conditions covering access, data handling, support and any separately proposed fee.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Commercial. </w:t>
      </w:r>
      <w:r>
        <w:t>The response quotes USD 79,200 first-year supplier fees before tax (USD 69,600 recurring at unchanged scope/rates), valid through 30 Nov 2026 per the response. This is an issued offer, not customer acceptance or an executed order.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Budget. </w:t>
      </w:r>
      <w:r>
        <w:t>The opportunity record states a USD 125,000 first-year project allocation for vendor fees plus valued internal effort, before tax; this is an evaluation ceiling, not spend approval or an accepted supplier price.</w:t>
      </w:r>
    </w:p>
    <w:p>
      <w:pPr>
        <w:pStyle w:val="Heading2"/>
      </w:pPr>
      <w:r>
        <w:t>Proposed / unresolved — do not describe as agreed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Negotiation. </w:t>
      </w:r>
      <w:r>
        <w:t>Supplier proposes net 30 versus AsterVale’s net 60; incident notice, liability cap and convenience termination also remain open. The response is qualified and does not accept Attachment B unconditionally.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Security. </w:t>
      </w:r>
      <w:r>
        <w:t>The supplier’s proposed 48-hour notice after confirming Customer Data impact differs from the customer draft’s 24-hour awareness trigger. Processing route, register and production security approval remain subject to review.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Operations. </w:t>
      </w:r>
      <w:r>
        <w:t>SCIM is excluded from the quoted scope; manual provisioning is proposed for the limited pilot. Do not close the production provisioning concern merely because a small pilot can run.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Output quality. </w:t>
      </w:r>
      <w:r>
        <w:t>Basic editable presentation text and shapes are offered, but arbitrary embedded-object/advanced animation preservation is not guaranteed. Pilot should use an approved layout and record manual rework.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Assurance. </w:t>
      </w:r>
      <w:r>
        <w:t>Independent Noumi ISO 27001/SOC 2 assurance is not asserted in the response. Review the stated alternative evidence rather than implying certification.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Pilot terms. </w:t>
      </w:r>
      <w:r>
        <w:t>The quote does not include a pilot fee, and no free pilot entitlement is inferred. Establish written evaluation terms before access.</w:t>
      </w:r>
    </w:p>
    <w:p>
      <w:pPr>
        <w:pStyle w:val="Heading1"/>
      </w:pPr>
      <w:r>
        <w:t>5. Next actions</w:t>
      </w:r>
    </w:p>
    <w:p>
      <w:pPr>
        <w:pStyle w:val="Heading2"/>
      </w:pPr>
      <w:r>
        <w:t>Source-recorded responsibilities and dates</w:t>
      </w:r>
    </w:p>
    <w:p>
      <w:r>
        <w:t>The items below are explicitly recorded in the 22 Oct transcript, including named owner(s) and due date/target where stated. The transcript says customer confirmation of the minutes is not recorded; source chronology is also unresolved. Treat these as reported commitments, not validated completion or calendar authority.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6DDE5"/>
          <w:left w:val="single" w:sz="4" w:space="0" w:color="D6DDE5"/>
          <w:bottom w:val="single" w:sz="4" w:space="0" w:color="D6DDE5"/>
          <w:right w:val="single" w:sz="4" w:space="0" w:color="D6DDE5"/>
          <w:insideH w:val="single" w:sz="4" w:space="0" w:color="D6DDE5"/>
          <w:insideV w:val="single" w:sz="4" w:space="0" w:color="D6DDE5"/>
        </w:tblBorders>
      </w:tblPr>
      <w:tblGrid>
        <w:gridCol w:w="1500"/>
        <w:gridCol w:w="3430"/>
        <w:gridCol w:w="1200"/>
        <w:gridCol w:w="3230"/>
      </w:tblGrid>
      <w:tr>
        <w:trPr>
          <w:tblHeader w:val="true"/>
          <w:cantSplit/>
        </w:trPr>
        <w:tc>
          <w:tcPr>
            <w:tcW w:type="dxa" w:w="15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Header"/>
            </w:pPr>
            <w:r>
              <w:t>Action</w:t>
            </w:r>
          </w:p>
        </w:tc>
        <w:tc>
          <w:tcPr>
            <w:tcW w:type="dxa" w:w="343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Header"/>
            </w:pPr>
            <w:r>
              <w:t>Owner / output</w:t>
            </w:r>
          </w:p>
        </w:tc>
        <w:tc>
          <w:tcPr>
            <w:tcW w:type="dxa" w:w="1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Header"/>
            </w:pPr>
            <w:r>
              <w:t>Source date</w:t>
            </w:r>
          </w:p>
        </w:tc>
        <w:tc>
          <w:tcPr>
            <w:tcW w:type="dxa" w:w="323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Header"/>
            </w:pPr>
            <w:r>
              <w:t>Condition / boundary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Processing schedule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Priya Nair to provide the existing processing schedule for AsterVale review.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23 Oct 2026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Conditional input to Leila’s pilot-route review.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Pilot scorecard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Priya Nair to prepare the proposed scorecard; measure preparation, review, corrections and format rework separately.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23 Oct 2026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Draft for customer review, not approved measurement policy.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Grant/offboarding steps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Priya Nair to send the test steps; Omar Shah to coordinate access/test identities subject to approved scope.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23 Oct 2026 (steps); test readiness target 26 Oct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Group removal and surviving direct grants remain to be tested.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Pilot user cohort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Elena Ward to nominate 12 users.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23 Oct 2026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Nomination, not confirmation that accounts are ready.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Approved layout and brief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Rachel Bell to provide the approved presentation layout and representative brief cleared for evaluation.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23 Oct 2026, 12:00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No live client deck from another folder.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Work package selection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Jonah Reed and Rachel Bell to agree ten work packages with Priya Nair.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26 Oct 2026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Maintain mutually exclusive workload categories.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Restricted pilot route review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Leila Tan to review the limited route, conditional on receiving the complete schedule.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Target 26 Oct 2026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Not production security approval; slip requires rescheduling pilot.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Security/legal response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Daniel Mercer to coordinate response from Noumi security and legal owners.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27 Oct 2026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No customer acceptance implied.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Commercial clause response</w:t>
            </w:r>
          </w:p>
        </w:tc>
        <w:tc>
          <w:tcPr>
            <w:tcW w:type="dxa" w:w="34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Daniel Mercer to send clause-by-clause response on payment, liability, incident notice and convenience termination.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27 Oct 2026</w:t>
            </w:r>
          </w:p>
        </w:tc>
        <w:tc>
          <w:tcPr>
            <w:tcW w:type="dxa" w:w="32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TableBody"/>
            </w:pPr>
            <w:r>
              <w:t>Proposals remain subject to mutual written agreement.</w:t>
            </w:r>
          </w:p>
        </w:tc>
      </w:tr>
    </w:tbl>
    <w:p>
      <w:pPr>
        <w:spacing w:after="20" w:before="20"/>
      </w:pPr>
    </w:p>
    <w:p>
      <w:pPr>
        <w:pStyle w:val="Heading2"/>
      </w:pPr>
      <w:r>
        <w:t>Proposed arrangements requiring confirmation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Proposed joint action. </w:t>
      </w:r>
      <w:r>
        <w:t>Maya Chen and Daniel Mercer: confirm the chronology, current procurement stage, bid receipt/version, signing authority and next procurement checkpoint before re-baselining dates.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Proposed joint action. </w:t>
      </w:r>
      <w:r>
        <w:t>Maya Chen with Leila Tan and Daniel Mercer: document pilot access, data scope, support, fee (if any), and approval path before test access; assign an agreed due date.</w:t>
      </w:r>
    </w:p>
    <w:p>
      <w:pPr>
        <w:keepLines/>
        <w:spacing w:after="160" w:line="280" w:lineRule="auto"/>
        <w:ind w:left="720" w:hanging="360"/>
        <w:numPr>
          <w:ilvl w:val="0"/>
          <w:numId w:val="10"/>
        </w:numPr>
      </w:pPr>
      <w:r>
        <w:rPr>
          <w:b/>
        </w:rPr>
        <w:t xml:space="preserve">Proposed owner / date unconfirmed. </w:t>
      </w:r>
      <w:r>
        <w:t>Priya Nair to prepare the assumption-led business-case model; Victor Hale to confirm review timing. The transcript explicitly leaves Finance’s response date unconfirmed.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/>
        <w:color w:val="526779"/>
        <w:sz w:val="17"/>
      </w:rPr>
      <w:t xml:space="preserve">Internal working document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526779"/>
        <w:sz w:val="17"/>
      </w:rPr>
      <w:t>ASTERVALE  /  INTERNAL STAKEHOLDER BRIEF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nsid w:val="00000009"/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 w:eastAsia="Calibri"/>
      <w:color w:val="24374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4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64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264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Body">
    <w:name w:val="Table Body"/>
    <w:pPr>
      <w:spacing w:before="0" w:after="40" w:line="252" w:lineRule="auto"/>
    </w:pPr>
    <w:rPr>
      <w:rFonts w:ascii="Calibri" w:hAnsi="Calibri" w:eastAsia="Calibri"/>
      <w:b w:val="0"/>
      <w:color w:val="243746"/>
      <w:sz w:val="18"/>
    </w:rPr>
  </w:style>
  <w:style w:type="paragraph" w:customStyle="1" w:styleId="TableHeader">
    <w:name w:val="Table Header"/>
    <w:pPr>
      <w:spacing w:before="0" w:after="40" w:line="252" w:lineRule="auto"/>
    </w:pPr>
    <w:rPr>
      <w:rFonts w:ascii="Calibri" w:hAnsi="Calibri" w:eastAsia="Calibri"/>
      <w:b/>
      <w:color w:val="0B2545"/>
      <w:sz w:val="18"/>
    </w:rPr>
  </w:style>
  <w:style w:type="paragraph" w:customStyle="1" w:styleId="SourceNote">
    <w:name w:val="Source Note"/>
    <w:pPr>
      <w:spacing w:before="0" w:after="80" w:line="252" w:lineRule="auto"/>
    </w:pPr>
    <w:rPr>
      <w:rFonts w:ascii="Calibri" w:hAnsi="Calibri" w:eastAsia="Calibri"/>
      <w:b w:val="0"/>
      <w:color w:val="526779"/>
      <w:sz w:val="18"/>
    </w:rPr>
  </w:style>
  <w:style w:type="paragraph" w:customStyle="1" w:styleId="Metadata">
    <w:name w:val="Metadata"/>
    <w:pPr>
      <w:spacing w:before="0" w:after="40" w:line="252" w:lineRule="auto"/>
    </w:pPr>
    <w:rPr>
      <w:rFonts w:ascii="Calibri" w:hAnsi="Calibri" w:eastAsia="Calibri"/>
      <w:b w:val="0"/>
      <w:color w:val="526779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AsterVale Internal Stakeholder Brief</dc:title>
  <dc:subject>AV-2026-041 | AV-RFP-2026-17</dc:subject>
  <dc:creator>Noumi</dc:creator>
  <cp:keywords>AsterVale; stakeholder brief; internal; RFP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