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40" w:line="259" w:lineRule="auto"/>
      </w:pPr>
      <w:r>
        <w:rPr>
          <w:rFonts w:ascii="Aptos" w:hAnsi="Aptos" w:eastAsia="Aptos"/>
          <w:b/>
          <w:i w:val="0"/>
          <w:color w:val="146857"/>
          <w:sz w:val="16"/>
        </w:rPr>
        <w:t>DECISION MEMO · GO / NO-GO</w:t>
      </w:r>
    </w:p>
    <w:p>
      <w:pPr>
        <w:pStyle w:val="Title"/>
        <w:keepNext/>
        <w:spacing w:before="0" w:after="80" w:line="240" w:lineRule="auto"/>
      </w:pPr>
      <w:r>
        <w:rPr>
          <w:rFonts w:ascii="Aptos" w:hAnsi="Aptos" w:eastAsia="Aptos"/>
          <w:b/>
          <w:i w:val="0"/>
          <w:color w:val="183047"/>
          <w:sz w:val="54"/>
        </w:rPr>
        <w:t>AsterVale | Go / No-Go Decision Recommendation</w:t>
      </w:r>
    </w:p>
    <w:p>
      <w:pPr>
        <w:pStyle w:val="Subtitle"/>
        <w:keepNext w:val="0"/>
        <w:spacing w:before="0" w:after="360" w:line="240" w:lineRule="auto"/>
      </w:pPr>
      <w:r>
        <w:rPr>
          <w:rFonts w:ascii="Aptos" w:hAnsi="Aptos" w:eastAsia="Aptos"/>
          <w:b w:val="0"/>
          <w:i w:val="0"/>
          <w:color w:val="5E7079"/>
          <w:sz w:val="20"/>
        </w:rPr>
        <w:t>Procurement AV-RFP-2026-17  |  AsterVale Advisory Pte. Ltd.  |  Internal decision support</w:t>
      </w:r>
    </w:p>
    <w:tbl>
      <w:tblPr>
        <w:tblW w:type="auto" w:w="0"/>
        <w:jc w:val="center"/>
        <w:tblLayout w:type="fixed"/>
        <w:tblLook w:firstColumn="1" w:firstRow="1" w:lastColumn="0" w:lastRow="0" w:noHBand="0" w:noVBand="1" w:val="04A0"/>
      </w:tblPr>
      <w:tblGrid>
        <w:gridCol w:w="5083"/>
        <w:gridCol w:w="5083"/>
      </w:tblGrid>
      <w:tr>
        <w:tc>
          <w:tcPr>
            <w:tcW w:type="dxa" w:w="2045"/>
            <w:shd w:fill="123F3A" w:val="clear"/>
            <w:tcMar>
              <w:top w:w="170" w:type="dxa"/>
              <w:start w:w="170" w:type="dxa"/>
              <w:bottom w:w="170" w:type="dxa"/>
              <w:end w:w="170" w:type="dxa"/>
            </w:tcMar>
            <w:tcBorders>
              <w:top w:val="nil"/>
              <w:left w:val="nil"/>
              <w:bottom w:val="nil"/>
              <w:right w:val="nil"/>
            </w:tcBorders>
          </w:tcPr>
          <w:p>
            <w:pPr>
              <w:keepNext w:val="0"/>
              <w:spacing w:before="0" w:after="100" w:line="240" w:lineRule="auto"/>
            </w:pPr>
            <w:r>
              <w:rPr>
                <w:rFonts w:ascii="Aptos" w:hAnsi="Aptos" w:eastAsia="Aptos"/>
                <w:b/>
                <w:i w:val="0"/>
                <w:color w:val="B9DED0"/>
                <w:sz w:val="14"/>
              </w:rPr>
              <w:t>RECOMMENDATION</w:t>
            </w:r>
          </w:p>
          <w:p>
            <w:pPr>
              <w:keepNext w:val="0"/>
              <w:spacing w:before="0" w:after="0" w:line="240" w:lineRule="auto"/>
            </w:pPr>
            <w:r>
              <w:rPr>
                <w:rFonts w:ascii="Aptos" w:hAnsi="Aptos" w:eastAsia="Aptos"/>
                <w:b/>
                <w:i w:val="0"/>
                <w:color w:val="FFFFFF"/>
                <w:sz w:val="36"/>
              </w:rPr>
              <w:t>CONDITIONAL</w:t>
              <w:br/>
              <w:t>GO</w:t>
            </w:r>
          </w:p>
        </w:tc>
        <w:tc>
          <w:tcPr>
            <w:tcW w:type="dxa" w:w="8035"/>
            <w:shd w:fill="EAF4EF" w:val="clear"/>
            <w:tcMar>
              <w:top w:w="155" w:type="dxa"/>
              <w:start w:w="190" w:type="dxa"/>
              <w:bottom w:w="155" w:type="dxa"/>
              <w:end w:w="190" w:type="dxa"/>
            </w:tcMar>
            <w:tcBorders>
              <w:top w:val="nil"/>
              <w:left w:val="single" w:sz="16" w:color="146857"/>
              <w:bottom w:val="nil"/>
              <w:right w:val="nil"/>
            </w:tcBorders>
          </w:tcPr>
          <w:p>
            <w:pPr>
              <w:keepNext w:val="0"/>
              <w:spacing w:before="0" w:after="100" w:line="252" w:lineRule="auto"/>
            </w:pPr>
            <w:r>
              <w:rPr>
                <w:rFonts w:ascii="Aptos" w:hAnsi="Aptos" w:eastAsia="Aptos"/>
                <w:b/>
                <w:i w:val="0"/>
                <w:color w:val="123F3A"/>
                <w:sz w:val="22"/>
              </w:rPr>
              <w:t>Continue controlled bid preparation.</w:t>
            </w:r>
          </w:p>
          <w:p>
            <w:pPr>
              <w:keepNext w:val="0"/>
              <w:spacing w:before="0" w:after="0" w:line="259" w:lineRule="auto"/>
            </w:pPr>
            <w:r>
              <w:rPr>
                <w:rFonts w:ascii="Aptos" w:hAnsi="Aptos" w:eastAsia="Aptos"/>
                <w:b w:val="0"/>
                <w:i w:val="0"/>
                <w:color w:val="23343C"/>
                <w:sz w:val="18"/>
              </w:rPr>
              <w:t>Pursue only if pre-submission approvals and source-date checks close. This is not approval to submit unapproved exceptions, accept AsterVale’s draft, sign, start paid implementation, or process live client data.</w:t>
            </w:r>
          </w:p>
        </w:tc>
      </w:tr>
    </w:tbl>
    <w:p>
      <w:pPr>
        <w:spacing w:after="40"/>
      </w:pPr>
    </w:p>
    <w:tbl>
      <w:tblPr>
        <w:tblW w:type="auto" w:w="0"/>
        <w:jc w:val="center"/>
        <w:tblLayout w:type="fixed"/>
        <w:tblLook w:firstColumn="1" w:firstRow="1" w:lastColumn="0" w:lastRow="0" w:noHBand="0" w:noVBand="1" w:val="04A0"/>
      </w:tblPr>
      <w:tblGrid>
        <w:gridCol w:w="5083"/>
        <w:gridCol w:w="5083"/>
      </w:tblGrid>
      <w:tr>
        <w:tc>
          <w:tcPr>
            <w:tcW w:type="dxa" w:w="5040"/>
            <w:shd w:fill="FFFFFF" w:val="clear"/>
            <w:tcMar>
              <w:top w:w="145" w:type="dxa"/>
              <w:start w:w="165" w:type="dxa"/>
              <w:bottom w:w="145" w:type="dxa"/>
              <w:end w:w="165" w:type="dxa"/>
            </w:tcMar>
            <w:tcBorders>
              <w:top w:val="single" w:sz="16" w:color="146857"/>
              <w:left w:val="single" w:sz="6" w:color="D5DEE2"/>
              <w:bottom w:val="single" w:sz="6" w:color="D5DEE2"/>
              <w:right w:val="single" w:sz="6" w:color="D5DEE2"/>
            </w:tcBorders>
          </w:tcPr>
          <w:p>
            <w:pPr>
              <w:keepNext w:val="0"/>
              <w:spacing w:before="0" w:after="80" w:line="245" w:lineRule="auto"/>
            </w:pPr>
            <w:r>
              <w:rPr>
                <w:rFonts w:ascii="Aptos" w:hAnsi="Aptos" w:eastAsia="Aptos"/>
                <w:b/>
                <w:i w:val="0"/>
                <w:color w:val="146857"/>
                <w:sz w:val="16"/>
              </w:rPr>
              <w:t>WHY PURSUE</w:t>
            </w:r>
          </w:p>
          <w:p>
            <w:pPr>
              <w:keepNext w:val="0"/>
              <w:spacing w:before="0" w:after="0" w:line="259" w:lineRule="auto"/>
            </w:pPr>
            <w:r>
              <w:rPr>
                <w:rFonts w:ascii="Aptos" w:hAnsi="Aptos" w:eastAsia="Aptos"/>
                <w:b w:val="0"/>
                <w:i w:val="0"/>
                <w:color w:val="23343C"/>
                <w:sz w:val="17"/>
              </w:rPr>
              <w:t>AsterVale’s core buying problem is cross-task reuse of authorized engagement context with visible memory and editable Word, Excel and PowerPoint outputs. Noumi Enterprise 2026.3 is documented for those workflows; the RFP gives context/memory 25% and deliverable quality/editability 20% of evaluation weight. This is a fit hypothesis, not a scored vendor result. [S1, S3, S9]</w:t>
            </w:r>
          </w:p>
        </w:tc>
        <w:tc>
          <w:tcPr>
            <w:tcW w:type="dxa" w:w="5040"/>
            <w:shd w:fill="FFFFFF" w:val="clear"/>
            <w:tcMar>
              <w:top w:w="145" w:type="dxa"/>
              <w:start w:w="165" w:type="dxa"/>
              <w:bottom w:w="145" w:type="dxa"/>
              <w:end w:w="165" w:type="dxa"/>
            </w:tcMar>
            <w:tcBorders>
              <w:top w:val="single" w:sz="16" w:color="B67918"/>
              <w:left w:val="single" w:sz="6" w:color="D5DEE2"/>
              <w:bottom w:val="single" w:sz="6" w:color="D5DEE2"/>
              <w:right w:val="single" w:sz="6" w:color="D5DEE2"/>
            </w:tcBorders>
          </w:tcPr>
          <w:p>
            <w:pPr>
              <w:keepNext w:val="0"/>
              <w:spacing w:before="0" w:after="80" w:line="245" w:lineRule="auto"/>
            </w:pPr>
            <w:r>
              <w:rPr>
                <w:rFonts w:ascii="Aptos" w:hAnsi="Aptos" w:eastAsia="Aptos"/>
                <w:b/>
                <w:i w:val="0"/>
                <w:color w:val="B67918"/>
                <w:sz w:val="16"/>
              </w:rPr>
              <w:t>WHY CONDITIONAL</w:t>
            </w:r>
          </w:p>
          <w:p>
            <w:pPr>
              <w:keepNext w:val="0"/>
              <w:spacing w:before="0" w:after="0" w:line="259" w:lineRule="auto"/>
            </w:pPr>
            <w:r>
              <w:rPr>
                <w:rFonts w:ascii="Aptos" w:hAnsi="Aptos" w:eastAsia="Aptos"/>
                <w:b w:val="0"/>
                <w:i w:val="0"/>
                <w:color w:val="23343C"/>
                <w:sz w:val="17"/>
              </w:rPr>
              <w:t>Crestline Workbench 6.2 has credible advantages in governed publication, retention/legal hold and SCIM. Noumi’s scored gaps include SCIM, independent certification, advanced PowerPoint fidelity and Notion two-way sync. Material customer contract terms also exceed or conflict with Noumi’s standard, including uncapped exposure and 24-hour awareness-based incident notice. [S3, S5, S6, S11]</w:t>
            </w:r>
          </w:p>
        </w:tc>
      </w:tr>
      <w:tr>
        <w:tc>
          <w:tcPr>
            <w:tcW w:type="dxa" w:w="5040"/>
            <w:shd w:fill="FFFFFF" w:val="clear"/>
            <w:tcMar>
              <w:top w:w="145" w:type="dxa"/>
              <w:start w:w="165" w:type="dxa"/>
              <w:bottom w:w="145" w:type="dxa"/>
              <w:end w:w="165" w:type="dxa"/>
            </w:tcMar>
            <w:tcBorders>
              <w:top w:val="single" w:sz="16" w:color="225B79"/>
              <w:left w:val="single" w:sz="6" w:color="D5DEE2"/>
              <w:bottom w:val="single" w:sz="6" w:color="D5DEE2"/>
              <w:right w:val="single" w:sz="6" w:color="D5DEE2"/>
            </w:tcBorders>
          </w:tcPr>
          <w:p>
            <w:pPr>
              <w:keepNext w:val="0"/>
              <w:spacing w:before="0" w:after="80" w:line="245" w:lineRule="auto"/>
            </w:pPr>
            <w:r>
              <w:rPr>
                <w:rFonts w:ascii="Aptos" w:hAnsi="Aptos" w:eastAsia="Aptos"/>
                <w:b/>
                <w:i w:val="0"/>
                <w:color w:val="225B79"/>
                <w:sz w:val="16"/>
              </w:rPr>
              <w:t>COMMERCIAL SIGNAL</w:t>
            </w:r>
          </w:p>
          <w:p>
            <w:pPr>
              <w:keepNext w:val="0"/>
              <w:spacing w:before="0" w:after="0" w:line="259" w:lineRule="auto"/>
            </w:pPr>
            <w:r>
              <w:rPr>
                <w:rFonts w:ascii="Aptos" w:hAnsi="Aptos" w:eastAsia="Aptos"/>
                <w:b w:val="0"/>
                <w:i w:val="0"/>
                <w:color w:val="23343C"/>
                <w:sz w:val="17"/>
              </w:rPr>
              <w:t>The provided quote artifact states $79,200 first-year fees and $69,600 recurring, before tax; its issue date is 14 October 2026, after this memo date. Treat those amounts as source-file figures requiring validation, not as an effective offer or accepted price. The customer’s $125,000 first-year vendor-plus-internal allocation is an evaluation ceiling, not spend approval. [S7, S8]</w:t>
            </w:r>
          </w:p>
        </w:tc>
        <w:tc>
          <w:tcPr>
            <w:tcW w:type="dxa" w:w="5040"/>
            <w:shd w:fill="FFFFFF" w:val="clear"/>
            <w:tcMar>
              <w:top w:w="145" w:type="dxa"/>
              <w:start w:w="165" w:type="dxa"/>
              <w:bottom w:w="145" w:type="dxa"/>
              <w:end w:w="165" w:type="dxa"/>
            </w:tcMar>
            <w:tcBorders>
              <w:top w:val="single" w:sz="16" w:color="A3543A"/>
              <w:left w:val="single" w:sz="6" w:color="D5DEE2"/>
              <w:bottom w:val="single" w:sz="6" w:color="D5DEE2"/>
              <w:right w:val="single" w:sz="6" w:color="D5DEE2"/>
            </w:tcBorders>
          </w:tcPr>
          <w:p>
            <w:pPr>
              <w:keepNext w:val="0"/>
              <w:spacing w:before="0" w:after="80" w:line="245" w:lineRule="auto"/>
            </w:pPr>
            <w:r>
              <w:rPr>
                <w:rFonts w:ascii="Aptos" w:hAnsi="Aptos" w:eastAsia="Aptos"/>
                <w:b/>
                <w:i w:val="0"/>
                <w:color w:val="A3543A"/>
                <w:sz w:val="16"/>
              </w:rPr>
              <w:t>DECISION REQUESTED</w:t>
            </w:r>
          </w:p>
          <w:p>
            <w:pPr>
              <w:keepNext w:val="0"/>
              <w:spacing w:before="0" w:after="0" w:line="259" w:lineRule="auto"/>
            </w:pPr>
            <w:r>
              <w:rPr>
                <w:rFonts w:ascii="Aptos" w:hAnsi="Aptos" w:eastAsia="Aptos"/>
                <w:b w:val="0"/>
                <w:i w:val="0"/>
                <w:color w:val="23343C"/>
                <w:sz w:val="17"/>
              </w:rPr>
              <w:t>Authorize bid preparation only. Before submission, validate the operative RFP/addenda and quote; secure function-specific Legal, Commercial, Finance, Security and Service Operations decisions on the exact deviations; and confirm that AsterVale will consider them. If an indispensable term is non-negotiable and cannot be approved or truthfully performed, recommend NO-GO on those terms.</w:t>
            </w:r>
          </w:p>
        </w:tc>
      </w:tr>
    </w:tbl>
    <w:p>
      <w:pPr>
        <w:spacing w:after="40"/>
      </w:pPr>
    </w:p>
    <w:tbl>
      <w:tblPr>
        <w:tblW w:type="auto" w:w="0"/>
        <w:jc w:val="center"/>
        <w:tblLayout w:type="fixed"/>
        <w:tblLook w:firstColumn="1" w:firstRow="1" w:lastColumn="0" w:lastRow="0" w:noHBand="0" w:noVBand="1" w:val="04A0"/>
      </w:tblPr>
      <w:tblGrid>
        <w:gridCol w:w="10166"/>
      </w:tblGrid>
      <w:tr>
        <w:tc>
          <w:tcPr>
            <w:tcW w:type="dxa" w:w="10080"/>
            <w:shd w:fill="FFF5E8" w:val="clear"/>
            <w:tcMar>
              <w:top w:w="130" w:type="dxa"/>
              <w:start w:w="180" w:type="dxa"/>
              <w:bottom w:w="130" w:type="dxa"/>
              <w:end w:w="180" w:type="dxa"/>
            </w:tcMar>
            <w:tcBorders>
              <w:top w:val="nil"/>
              <w:left w:val="single" w:sz="18" w:color="B67918"/>
              <w:bottom w:val="nil"/>
              <w:right w:val="nil"/>
            </w:tcBorders>
          </w:tcPr>
          <w:p>
            <w:pPr>
              <w:keepNext w:val="0"/>
              <w:spacing w:before="0" w:after="60" w:line="252" w:lineRule="auto"/>
            </w:pPr>
            <w:r>
              <w:rPr>
                <w:rFonts w:ascii="Aptos" w:hAnsi="Aptos" w:eastAsia="Aptos"/>
                <w:b/>
                <w:i w:val="0"/>
                <w:color w:val="B67918"/>
                <w:sz w:val="16"/>
              </w:rPr>
              <w:t>DATE / STATUS LIMITATION</w:t>
            </w:r>
          </w:p>
          <w:p>
            <w:pPr>
              <w:keepNext w:val="0"/>
              <w:spacing w:before="0" w:after="0" w:line="259" w:lineRule="auto"/>
            </w:pPr>
            <w:r>
              <w:rPr>
                <w:rFonts w:ascii="Aptos" w:hAnsi="Aptos" w:eastAsia="Aptos"/>
                <w:b w:val="0"/>
                <w:i w:val="0"/>
                <w:color w:val="23343C"/>
                <w:sz w:val="17"/>
              </w:rPr>
              <w:t>The source set is chronology-inconsistent. This memo is dated 30 Sep 2026; the RFP is dated 1 Oct, Addendum 01 is dated 9 Oct, the quote 14 Oct and the demo transcript 22 Oct. Those later-dated records are supplied files, but are not verifiable as live/current or completed events as of this memo date. Confirm issuance, amendments, status and approvals through Procurement before relying on them. No supplier selection, customer contract acceptance, production security approval or award is established. [S1, S4, S7, S13, S14]</w:t>
            </w:r>
          </w:p>
        </w:tc>
      </w:tr>
    </w:tbl>
    <w:p>
      <w:pPr>
        <w:spacing w:after="20"/>
      </w:pPr>
    </w:p>
    <w:p>
      <w:pPr>
        <w:pStyle w:val="Heading1"/>
        <w:keepNext/>
        <w:pageBreakBefore/>
      </w:pPr>
      <w:r>
        <w:rPr>
          <w:rFonts w:ascii="Aptos" w:hAnsi="Aptos" w:eastAsia="Aptos"/>
          <w:b/>
          <w:i w:val="0"/>
          <w:color w:val="146857"/>
          <w:sz w:val="20"/>
        </w:rPr>
        <w:t xml:space="preserve">01  </w:t>
      </w:r>
      <w:r>
        <w:rPr>
          <w:rFonts w:ascii="Aptos" w:hAnsi="Aptos" w:eastAsia="Aptos"/>
          <w:b/>
          <w:i w:val="0"/>
          <w:color w:val="183047"/>
          <w:sz w:val="34"/>
        </w:rPr>
        <w:t>Requirements fit and evidence boundary</w:t>
      </w:r>
    </w:p>
    <w:p>
      <w:pPr>
        <w:keepNext w:val="0"/>
        <w:spacing w:before="0" w:after="160" w:line="259" w:lineRule="auto"/>
      </w:pPr>
      <w:r>
        <w:rPr>
          <w:rFonts w:ascii="Aptos" w:hAnsi="Aptos" w:eastAsia="Aptos"/>
          <w:b w:val="0"/>
          <w:i w:val="0"/>
          <w:color w:val="23343C"/>
          <w:sz w:val="18"/>
        </w:rPr>
        <w:t>The requirements matrix is a supplier-side assessment against Noumi Enterprise 2026.3. It helps target proof, but does not establish customer acceptance or current configuration. The RFP requires evidence-based answers and distinguishes Must requirements from Scored preferences. [S1, S2, S3]</w:t>
      </w:r>
    </w:p>
    <w:p>
      <w:pPr>
        <w:pStyle w:val="Heading2"/>
        <w:keepNext/>
      </w:pPr>
      <w:r>
        <w:rPr>
          <w:rFonts w:ascii="Aptos" w:hAnsi="Aptos" w:eastAsia="Aptos"/>
          <w:b/>
          <w:i w:val="0"/>
          <w:color w:val="225B79"/>
          <w:sz w:val="22"/>
        </w:rPr>
        <w:t>Where Noumi fits the stated work</w:t>
      </w:r>
    </w:p>
    <w:tbl>
      <w:tblPr>
        <w:tblW w:type="auto" w:w="0"/>
        <w:jc w:val="center"/>
        <w:tblLayout w:type="fixed"/>
        <w:tblLook w:firstColumn="1" w:firstRow="1" w:lastColumn="0" w:lastRow="0" w:noHBand="0" w:noVBand="1" w:val="04A0"/>
      </w:tblPr>
      <w:tblGrid>
        <w:gridCol w:w="3389"/>
        <w:gridCol w:w="3389"/>
        <w:gridCol w:w="3389"/>
      </w:tblGrid>
      <w:tr>
        <w:tc>
          <w:tcPr>
            <w:tcW w:type="dxa" w:w="3355"/>
            <w:shd w:fill="F6F8F8" w:val="clear"/>
            <w:tcMar>
              <w:top w:w="125" w:type="dxa"/>
              <w:start w:w="130" w:type="dxa"/>
              <w:bottom w:w="125" w:type="dxa"/>
              <w:end w:w="130" w:type="dxa"/>
            </w:tcMar>
            <w:tcBorders>
              <w:top w:val="single" w:sz="14" w:color="146857"/>
              <w:left w:val="single" w:sz="6" w:color="D5DEE2"/>
              <w:bottom w:val="single" w:sz="6" w:color="D5DEE2"/>
              <w:right w:val="single" w:sz="6" w:color="D5DEE2"/>
            </w:tcBorders>
          </w:tcPr>
          <w:p>
            <w:pPr>
              <w:keepNext w:val="0"/>
              <w:spacing w:before="0" w:after="80" w:line="247" w:lineRule="auto"/>
            </w:pPr>
            <w:r>
              <w:rPr>
                <w:rFonts w:ascii="Aptos" w:hAnsi="Aptos" w:eastAsia="Aptos"/>
                <w:b/>
                <w:i w:val="0"/>
                <w:color w:val="146857"/>
                <w:sz w:val="17"/>
              </w:rPr>
              <w:t>Project continuity and memory</w:t>
            </w:r>
          </w:p>
          <w:p>
            <w:pPr>
              <w:keepNext w:val="0"/>
              <w:spacing w:before="0" w:after="0" w:line="254" w:lineRule="auto"/>
            </w:pPr>
            <w:r>
              <w:rPr>
                <w:rFonts w:ascii="Aptos" w:hAnsi="Aptos" w:eastAsia="Aptos"/>
                <w:b w:val="0"/>
                <w:i w:val="0"/>
                <w:color w:val="23343C"/>
                <w:sz w:val="16"/>
              </w:rPr>
              <w:t>authorized project files and scoped project/user preferences can carry into later tasks; users can inspect, correct and delete memory. Search is not exhaustive, stale sources may still appear, and a project is not a records-management classification. [S9, CAP-003/006/020–022]</w:t>
            </w:r>
          </w:p>
        </w:tc>
        <w:tc>
          <w:tcPr>
            <w:tcW w:type="dxa" w:w="3355"/>
            <w:shd w:fill="F6F8F8" w:val="clear"/>
            <w:tcMar>
              <w:top w:w="125" w:type="dxa"/>
              <w:start w:w="130" w:type="dxa"/>
              <w:bottom w:w="125" w:type="dxa"/>
              <w:end w:w="130" w:type="dxa"/>
            </w:tcMar>
            <w:tcBorders>
              <w:top w:val="single" w:sz="14" w:color="146857"/>
              <w:left w:val="single" w:sz="6" w:color="D5DEE2"/>
              <w:bottom w:val="single" w:sz="6" w:color="D5DEE2"/>
              <w:right w:val="single" w:sz="6" w:color="D5DEE2"/>
            </w:tcBorders>
          </w:tcPr>
          <w:p>
            <w:pPr>
              <w:keepNext w:val="0"/>
              <w:spacing w:before="0" w:after="80" w:line="247" w:lineRule="auto"/>
            </w:pPr>
            <w:r>
              <w:rPr>
                <w:rFonts w:ascii="Aptos" w:hAnsi="Aptos" w:eastAsia="Aptos"/>
                <w:b/>
                <w:i w:val="0"/>
                <w:color w:val="146857"/>
                <w:sz w:val="17"/>
              </w:rPr>
              <w:t>Editable deliverables</w:t>
            </w:r>
          </w:p>
          <w:p>
            <w:pPr>
              <w:keepNext w:val="0"/>
              <w:spacing w:before="0" w:after="0" w:line="254" w:lineRule="auto"/>
            </w:pPr>
            <w:r>
              <w:rPr>
                <w:rFonts w:ascii="Aptos" w:hAnsi="Aptos" w:eastAsia="Aptos"/>
                <w:b w:val="0"/>
                <w:i w:val="0"/>
                <w:color w:val="23343C"/>
                <w:sz w:val="16"/>
              </w:rPr>
              <w:t>DOCX, XLSX and PPTX are supported as native files. Exact arbitrary layout, embedded-object and advanced animation fidelity are not guaranteed; reviewers must open and edit representative outputs. [S9, CAP-008–010]</w:t>
            </w:r>
          </w:p>
        </w:tc>
        <w:tc>
          <w:tcPr>
            <w:tcW w:type="dxa" w:w="3355"/>
            <w:shd w:fill="F6F8F8" w:val="clear"/>
            <w:tcMar>
              <w:top w:w="125" w:type="dxa"/>
              <w:start w:w="130" w:type="dxa"/>
              <w:bottom w:w="125" w:type="dxa"/>
              <w:end w:w="130" w:type="dxa"/>
            </w:tcMar>
            <w:tcBorders>
              <w:top w:val="single" w:sz="14" w:color="146857"/>
              <w:left w:val="single" w:sz="6" w:color="D5DEE2"/>
              <w:bottom w:val="single" w:sz="6" w:color="D5DEE2"/>
              <w:right w:val="single" w:sz="6" w:color="D5DEE2"/>
            </w:tcBorders>
          </w:tcPr>
          <w:p>
            <w:pPr>
              <w:keepNext w:val="0"/>
              <w:spacing w:before="0" w:after="80" w:line="247" w:lineRule="auto"/>
            </w:pPr>
            <w:r>
              <w:rPr>
                <w:rFonts w:ascii="Aptos" w:hAnsi="Aptos" w:eastAsia="Aptos"/>
                <w:b/>
                <w:i w:val="0"/>
                <w:color w:val="146857"/>
                <w:sz w:val="17"/>
              </w:rPr>
              <w:t>Controlled access and processing</w:t>
            </w:r>
          </w:p>
          <w:p>
            <w:pPr>
              <w:keepNext w:val="0"/>
              <w:spacing w:before="0" w:after="0" w:line="254" w:lineRule="auto"/>
            </w:pPr>
            <w:r>
              <w:rPr>
                <w:rFonts w:ascii="Aptos" w:hAnsi="Aptos" w:eastAsia="Aptos"/>
                <w:b w:val="0"/>
                <w:i w:val="0"/>
                <w:color w:val="23343C"/>
                <w:sz w:val="16"/>
              </w:rPr>
              <w:t>the documented Enterprise 2026.3 route places primary storage, backups and contracted model inference in Singapore; the register names HarborGrid Cloud and LatticePeak Inference. No shared-model training is stated for the specified route. Remote user downloads and customer Microsoft 365 location remain separate control boundaries. [S10, Sections 1, 3, 6]</w:t>
            </w:r>
          </w:p>
        </w:tc>
      </w:tr>
    </w:tbl>
    <w:p>
      <w:pPr>
        <w:spacing w:after="40"/>
      </w:pPr>
    </w:p>
    <w:p>
      <w:pPr>
        <w:pStyle w:val="Heading2"/>
        <w:keepNext/>
      </w:pPr>
      <w:r>
        <w:rPr>
          <w:rFonts w:ascii="Aptos" w:hAnsi="Aptos" w:eastAsia="Aptos"/>
          <w:b/>
          <w:i w:val="0"/>
          <w:color w:val="225B79"/>
          <w:sz w:val="22"/>
        </w:rPr>
        <w:t>Known gaps and validation items</w:t>
      </w:r>
    </w:p>
    <w:p>
      <w:pPr>
        <w:pStyle w:val="ListBullet"/>
        <w:keepNext w:val="0"/>
        <w:spacing w:before="0" w:after="80" w:line="259" w:lineRule="auto"/>
      </w:pPr>
      <w:r>
        <w:rPr>
          <w:rFonts w:ascii="Aptos" w:hAnsi="Aptos" w:eastAsia="Aptos"/>
          <w:b w:val="0"/>
          <w:i w:val="0"/>
          <w:color w:val="23343C"/>
          <w:sz w:val="17"/>
        </w:rPr>
        <w:t>Scored/product gaps disclosed in the matrix include no SCIM, no Noumi ISO 27001/SOC 2 assertion, no bidirectional Notion sync, no fully offline/local-model deployment, no guarantee of advanced PowerPoint animation fidelity, no public-link sharing in this scope, and no central admin access to every private conversation. Nested-group inheritance is not documented; custom API/MCP work requires a separately priced SOW. [S3, Product Gaps; S9, CAP-030/037/042–046]</w:t>
      </w:r>
    </w:p>
    <w:p>
      <w:pPr>
        <w:pStyle w:val="ListBullet"/>
        <w:keepNext w:val="0"/>
        <w:spacing w:before="0" w:after="80" w:line="259" w:lineRule="auto"/>
      </w:pPr>
      <w:r>
        <w:rPr>
          <w:rFonts w:ascii="Aptos" w:hAnsi="Aptos" w:eastAsia="Aptos"/>
          <w:b w:val="0"/>
          <w:i w:val="0"/>
          <w:color w:val="23343C"/>
          <w:sz w:val="17"/>
        </w:rPr>
        <w:t>The matrix shows 37 Must checklist rows as Meets or Meets with configuration; that is supplier classification, not acceptance. Scored gaps are not automatic exclusions under the RFP/addendum material, but the addendum itself is future-dated relative to this memo. AV-040 and AV-054 are described as disclosure/process responses while remaining contract-deviation issues. [S1, Section 5; S3, Requirements Matrix]</w:t>
      </w:r>
    </w:p>
    <w:p>
      <w:pPr>
        <w:pStyle w:val="ListBullet"/>
        <w:keepNext w:val="0"/>
        <w:spacing w:before="0" w:after="80" w:line="259" w:lineRule="auto"/>
      </w:pPr>
      <w:r>
        <w:rPr>
          <w:rFonts w:ascii="Aptos" w:hAnsi="Aptos" w:eastAsia="Aptos"/>
          <w:b w:val="0"/>
          <w:i w:val="0"/>
          <w:color w:val="23343C"/>
          <w:sz w:val="17"/>
        </w:rPr>
        <w:t>Microsoft 365 read/email-draft configuration, consent, offboarding, group/direct-grant behavior, usage reporting and the exact access/revocation evidence need scoped acceptance tests. The requirement matrix and later transcript do not substitute for a complete current test record. [S2, AV-024/027/029/031/032; S3; S14]</w:t>
      </w:r>
    </w:p>
    <w:p>
      <w:pPr>
        <w:pStyle w:val="Heading2"/>
        <w:keepNext/>
      </w:pPr>
      <w:r>
        <w:rPr>
          <w:rFonts w:ascii="Aptos" w:hAnsi="Aptos" w:eastAsia="Aptos"/>
          <w:b/>
          <w:i w:val="0"/>
          <w:color w:val="225B79"/>
          <w:sz w:val="22"/>
        </w:rPr>
        <w:t>Pilot evidence required before a rollout recommendation</w:t>
      </w:r>
    </w:p>
    <w:tbl>
      <w:tblPr>
        <w:tblW w:type="auto" w:w="0"/>
        <w:jc w:val="center"/>
        <w:tblLayout w:type="fixed"/>
        <w:tblLook w:firstColumn="1" w:firstRow="1" w:lastColumn="0" w:lastRow="0" w:noHBand="0" w:noVBand="1" w:val="04A0"/>
      </w:tblPr>
      <w:tblGrid>
        <w:gridCol w:w="10166"/>
      </w:tblGrid>
      <w:tr>
        <w:tc>
          <w:tcPr>
            <w:tcW w:type="dxa" w:w="10080"/>
            <w:shd w:fill="F4F7F6" w:val="clear"/>
            <w:tcMar>
              <w:top w:w="130" w:type="dxa"/>
              <w:start w:w="180" w:type="dxa"/>
              <w:bottom w:w="130" w:type="dxa"/>
              <w:end w:w="180" w:type="dxa"/>
            </w:tcMar>
            <w:tcBorders>
              <w:top w:val="nil"/>
              <w:left w:val="single" w:sz="18" w:color="146857"/>
              <w:bottom w:val="nil"/>
              <w:right w:val="nil"/>
            </w:tcBorders>
          </w:tcPr>
          <w:p>
            <w:pPr>
              <w:keepNext w:val="0"/>
              <w:spacing w:before="0" w:after="60" w:line="252" w:lineRule="auto"/>
            </w:pPr>
            <w:r>
              <w:rPr>
                <w:rFonts w:ascii="Aptos" w:hAnsi="Aptos" w:eastAsia="Aptos"/>
                <w:b/>
                <w:i w:val="0"/>
                <w:color w:val="146857"/>
                <w:sz w:val="16"/>
              </w:rPr>
              <w:t>PILOT DESIGN</w:t>
            </w:r>
          </w:p>
          <w:p>
            <w:pPr>
              <w:keepNext w:val="0"/>
              <w:spacing w:before="0" w:after="0" w:line="259" w:lineRule="auto"/>
            </w:pPr>
            <w:r>
              <w:rPr>
                <w:rFonts w:ascii="Aptos" w:hAnsi="Aptos" w:eastAsia="Aptos"/>
                <w:b w:val="0"/>
                <w:i w:val="0"/>
                <w:color w:val="23343C"/>
                <w:sz w:val="17"/>
              </w:rPr>
              <w:t>Use the customer’s proposed 12-user / 10-work-package sample, preselected tasks, and separate preparation and reviewer time. Record evidence traceability, editability, material corrections, format rework, adoption and failed/abandoned tasks. Include a deliberately missing fact and access/offboarding tests. A positive task or demo cannot prove organization-wide savings, legal accuracy, security approval or award. [S1, Sections 7–8; S8, Sections 6–9]</w:t>
            </w:r>
          </w:p>
        </w:tc>
      </w:tr>
    </w:tbl>
    <w:p>
      <w:pPr>
        <w:spacing w:after="20"/>
      </w:pPr>
    </w:p>
    <w:tbl>
      <w:tblPr>
        <w:tblW w:type="auto" w:w="0"/>
        <w:jc w:val="center"/>
        <w:tblLayout w:type="fixed"/>
        <w:tblLook w:firstColumn="1" w:firstRow="1" w:lastColumn="0" w:lastRow="0" w:noHBand="0" w:noVBand="1" w:val="04A0"/>
      </w:tblPr>
      <w:tblGrid>
        <w:gridCol w:w="10166"/>
      </w:tblGrid>
      <w:tr>
        <w:tc>
          <w:tcPr>
            <w:tcW w:type="dxa" w:w="10080"/>
            <w:shd w:fill="FFF5E8" w:val="clear"/>
            <w:tcMar>
              <w:top w:w="130" w:type="dxa"/>
              <w:start w:w="180" w:type="dxa"/>
              <w:bottom w:w="130" w:type="dxa"/>
              <w:end w:w="180" w:type="dxa"/>
            </w:tcMar>
            <w:tcBorders>
              <w:top w:val="nil"/>
              <w:left w:val="single" w:sz="18" w:color="B67918"/>
              <w:bottom w:val="nil"/>
              <w:right w:val="nil"/>
            </w:tcBorders>
          </w:tcPr>
          <w:p>
            <w:pPr>
              <w:keepNext w:val="0"/>
              <w:spacing w:before="0" w:after="60" w:line="252" w:lineRule="auto"/>
            </w:pPr>
            <w:r>
              <w:rPr>
                <w:rFonts w:ascii="Aptos" w:hAnsi="Aptos" w:eastAsia="Aptos"/>
                <w:b/>
                <w:i w:val="0"/>
                <w:color w:val="B67918"/>
                <w:sz w:val="16"/>
              </w:rPr>
              <w:t>LATER-DATED DEMO RECORD</w:t>
            </w:r>
          </w:p>
          <w:p>
            <w:pPr>
              <w:keepNext w:val="0"/>
              <w:spacing w:before="0" w:after="0" w:line="259" w:lineRule="auto"/>
            </w:pPr>
            <w:r>
              <w:rPr>
                <w:rFonts w:ascii="Aptos" w:hAnsi="Aptos" w:eastAsia="Aptos"/>
                <w:b w:val="0"/>
                <w:i w:val="0"/>
                <w:color w:val="23343C"/>
                <w:sz w:val="17"/>
              </w:rPr>
              <w:t>The supplied 22 Oct transcript purports to record successful controlled context retrieval, one denied access request, an editable Word/Excel example, and a visible preference update. It also leaves group/direct-grant offboarding tests, cross-project memory tests, security review, commercial terms and production approval open. Since 22 Oct is in the future as of this memo, none of these can be treated as an event already completed; if later confirmed, evidence remains limited to those described tests. [S14, Sections 15:05–15:59]</w:t>
            </w:r>
          </w:p>
        </w:tc>
      </w:tr>
    </w:tbl>
    <w:p>
      <w:pPr>
        <w:spacing w:after="20"/>
      </w:pPr>
    </w:p>
    <w:p>
      <w:pPr>
        <w:pStyle w:val="Heading1"/>
        <w:keepNext/>
        <w:pageBreakBefore/>
      </w:pPr>
      <w:r>
        <w:rPr>
          <w:rFonts w:ascii="Aptos" w:hAnsi="Aptos" w:eastAsia="Aptos"/>
          <w:b/>
          <w:i w:val="0"/>
          <w:color w:val="146857"/>
          <w:sz w:val="20"/>
        </w:rPr>
        <w:t xml:space="preserve">02  </w:t>
      </w:r>
      <w:r>
        <w:rPr>
          <w:rFonts w:ascii="Aptos" w:hAnsi="Aptos" w:eastAsia="Aptos"/>
          <w:b/>
          <w:i w:val="0"/>
          <w:color w:val="183047"/>
          <w:sz w:val="34"/>
        </w:rPr>
        <w:t>Contract exposure and commercial case</w:t>
      </w:r>
    </w:p>
    <w:p>
      <w:pPr>
        <w:keepNext w:val="0"/>
        <w:spacing w:before="0" w:after="140" w:line="259" w:lineRule="auto"/>
      </w:pPr>
      <w:r>
        <w:rPr>
          <w:rFonts w:ascii="Aptos" w:hAnsi="Aptos" w:eastAsia="Aptos"/>
          <w:b w:val="0"/>
          <w:i w:val="0"/>
          <w:color w:val="23343C"/>
          <w:sz w:val="18"/>
        </w:rPr>
        <w:t>Internal commercial/contract triage only; not legal advice, a contract approval, or permission to sign. The customer draft is unapproved and its exceptions remain subject to separate written customer acceptance. [S5, S6]</w:t>
      </w:r>
    </w:p>
    <w:p>
      <w:pPr>
        <w:pStyle w:val="Heading2"/>
        <w:keepNext/>
      </w:pPr>
      <w:r>
        <w:rPr>
          <w:rFonts w:ascii="Aptos" w:hAnsi="Aptos" w:eastAsia="Aptos"/>
          <w:b/>
          <w:i w:val="0"/>
          <w:color w:val="225B79"/>
          <w:sz w:val="22"/>
        </w:rPr>
        <w:t>Contract issues that can change the bid decision</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800"/>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Issue</w:t>
            </w:r>
          </w:p>
        </w:tc>
        <w:tc>
          <w:tcPr>
            <w:tcW w:type="dxa" w:w="4392"/>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Customer / Noumi position</w:t>
            </w:r>
          </w:p>
        </w:tc>
        <w:tc>
          <w:tcPr>
            <w:tcW w:type="dxa" w:w="3888"/>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Approval / condition</w:t>
            </w:r>
          </w:p>
        </w:tc>
      </w:tr>
      <w:tr>
        <w:trPr/>
        <w:tc>
          <w:tcPr>
            <w:tcW w:type="dxa" w:w="1800"/>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Liability • Sections 11.1–11.2</w:t>
            </w:r>
          </w:p>
        </w:tc>
        <w:tc>
          <w:tcPr>
            <w:tcW w:type="dxa" w:w="4392"/>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Customer asks for a 3× annual-fee general cap and leaves confidentiality, personal-data and IP claims uncapped. Noumi baseline: 1× affected-Order fees for general claims and 2× for data/confidentiality. A 3× general cap is above the ordinary negotiation band; uncapped exposure requires executive exception.</w:t>
            </w:r>
          </w:p>
        </w:tc>
        <w:tc>
          <w:tcPr>
            <w:tcW w:type="dxa" w:w="3888"/>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Legal lead + Finance lead; executive exception above 1.5× general or for uncapped exposure. Reconcile cap base, implementation fees, indemnities and no-double-recovery language.</w:t>
            </w:r>
          </w:p>
        </w:tc>
      </w:tr>
      <w:tr>
        <w:trPr/>
        <w:tc>
          <w:tcPr>
            <w:tcW w:type="dxa" w:w="1800"/>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Output IP • Sections 8.2, 10.1, 11.2</w:t>
            </w:r>
          </w:p>
        </w:tc>
        <w:tc>
          <w:tcPr>
            <w:tcW w:type="dxa" w:w="4392"/>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Customer warranty covers infringement by the Service and all generated Output, with uncapped IP indemnity. Noumi cannot give a universal uniqueness/non-infringement warranty for probabilistic output; standard remedy is narrower and subject to third-party rights.</w:t>
            </w:r>
          </w:p>
        </w:tc>
        <w:tc>
          <w:tcPr>
            <w:tcW w:type="dxa" w:w="3888"/>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Legal to propose scoped Service-IP remedy and exclusions. Do not certify an unverified fact; an impossible/false commitment is not cured by executive approval.</w:t>
            </w:r>
          </w:p>
        </w:tc>
      </w:tr>
      <w:tr>
        <w:trPr/>
        <w:tc>
          <w:tcPr>
            <w:tcW w:type="dxa" w:w="1800"/>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Incident notice • Section 6.3</w:t>
            </w:r>
          </w:p>
        </w:tc>
        <w:tc>
          <w:tcPr>
            <w:tcW w:type="dxa" w:w="4392"/>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Customer asks for notice within 24 hours after awareness. Noumi standard is within 48 hours after confirming customer-data involvement. The supplied Q&amp;A Q14 says no amendment; its issue date is 9 Oct, after this memo date.</w:t>
            </w:r>
          </w:p>
        </w:tc>
        <w:tc>
          <w:tcPr>
            <w:tcW w:type="dxa" w:w="3888"/>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Security + Legal validate trigger, on-call process and exact wording. The acceptance guideline treats 24h-from-awareness as operational redesign and executive exception.</w:t>
            </w:r>
          </w:p>
        </w:tc>
      </w:tr>
      <w:tr>
        <w:trPr/>
        <w:tc>
          <w:tcPr>
            <w:tcW w:type="dxa" w:w="1800"/>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Payment • Section 4.2</w:t>
            </w:r>
          </w:p>
        </w:tc>
        <w:tc>
          <w:tcPr>
            <w:tcW w:type="dxa" w:w="4392"/>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Customer draft says net 60 after a correct invoice; the later quote states net 30. The quoted term does not amend the customer draft. Net 60 changes cash timing and should not be assumed accepted.</w:t>
            </w:r>
          </w:p>
        </w:tc>
        <w:tc>
          <w:tcPr>
            <w:tcW w:type="dxa" w:w="3888"/>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Finance and Commercial leads approve any net-60 position with invoice schedule and cash-flow impact; Legal reviews invoice conditions. Net 45 is the ordinary consideration point in the guideline.</w:t>
            </w:r>
          </w:p>
        </w:tc>
      </w:tr>
      <w:tr>
        <w:trPr/>
        <w:tc>
          <w:tcPr>
            <w:tcW w:type="dxa" w:w="1800"/>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Convenience exit • Section 12.3</w:t>
            </w:r>
          </w:p>
        </w:tc>
        <w:tc>
          <w:tcPr>
            <w:tcW w:type="dxa" w:w="4392"/>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Customer seeks termination on 30 days and daily prorated refund of unused prepaid recurring fees. Noumi standard has no midterm convenience right; the term shifts annual revenue and onboarding exposure.</w:t>
            </w:r>
          </w:p>
        </w:tc>
        <w:tc>
          <w:tcPr>
            <w:tcW w:type="dxa" w:w="3888"/>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Legal + Commercial negotiate nonrenewal or priced transition; Finance lead approval for refundable/cancelable annual commitments and revised economics.</w:t>
            </w:r>
          </w:p>
        </w:tc>
      </w:tr>
      <w:tr>
        <w:trPr/>
        <w:tc>
          <w:tcPr>
            <w:tcW w:type="dxa" w:w="1800"/>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Audit • Section 13.1</w:t>
            </w:r>
          </w:p>
        </w:tc>
        <w:tc>
          <w:tcPr>
            <w:tcW w:type="dxa" w:w="4392"/>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Customer draft permits uncapped frequency and unrestricted onsite/system access. Noumi standard is annual documentary review and proportionate escalation, protecting shared infrastructure and other customers.</w:t>
            </w:r>
          </w:p>
        </w:tc>
        <w:tc>
          <w:tcPr>
            <w:tcW w:type="dxa" w:w="3888"/>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Security + Legal propose scoped independent escalation, notice, confidentiality, frequency, system-access and cost safeguards.</w:t>
            </w:r>
          </w:p>
        </w:tc>
      </w:tr>
    </w:tbl>
    <w:p>
      <w:pPr>
        <w:spacing w:after="20"/>
      </w:pPr>
    </w:p>
    <w:tbl>
      <w:tblPr>
        <w:tblW w:type="auto" w:w="0"/>
        <w:jc w:val="center"/>
        <w:tblLayout w:type="fixed"/>
        <w:tblLook w:firstColumn="1" w:firstRow="1" w:lastColumn="0" w:lastRow="0" w:noHBand="0" w:noVBand="1" w:val="04A0"/>
      </w:tblPr>
      <w:tblGrid>
        <w:gridCol w:w="10166"/>
      </w:tblGrid>
      <w:tr>
        <w:tc>
          <w:tcPr>
            <w:tcW w:type="dxa" w:w="10080"/>
            <w:shd w:fill="F4F7F6" w:val="clear"/>
            <w:tcMar>
              <w:top w:w="130" w:type="dxa"/>
              <w:start w:w="180" w:type="dxa"/>
              <w:bottom w:w="130" w:type="dxa"/>
              <w:end w:w="180" w:type="dxa"/>
            </w:tcMar>
            <w:tcBorders>
              <w:top w:val="nil"/>
              <w:left w:val="single" w:sz="18" w:color="225B79"/>
              <w:bottom w:val="nil"/>
              <w:right w:val="nil"/>
            </w:tcBorders>
          </w:tcPr>
          <w:p>
            <w:pPr>
              <w:keepNext w:val="0"/>
              <w:spacing w:before="0" w:after="60" w:line="252" w:lineRule="auto"/>
            </w:pPr>
            <w:r>
              <w:rPr>
                <w:rFonts w:ascii="Aptos" w:hAnsi="Aptos" w:eastAsia="Aptos"/>
                <w:b/>
                <w:i w:val="0"/>
                <w:color w:val="225B79"/>
                <w:sz w:val="16"/>
              </w:rPr>
              <w:t>OTHER MATERIAL CLOSURE</w:t>
            </w:r>
          </w:p>
          <w:p>
            <w:pPr>
              <w:keepNext w:val="0"/>
              <w:spacing w:before="0" w:after="0" w:line="259" w:lineRule="auto"/>
            </w:pPr>
            <w:r>
              <w:rPr>
                <w:rFonts w:ascii="Aptos" w:hAnsi="Aptos" w:eastAsia="Aptos"/>
                <w:b w:val="0"/>
                <w:i w:val="0"/>
                <w:color w:val="23343C"/>
                <w:sz w:val="17"/>
              </w:rPr>
              <w:t>Other material closure: confirm the subprocessor/data route and no-training terms; reconcile the 30-day export + 30-day primary deletion + up-to-35-day backup expiry sequence; and freeze precedence and incorporated policy versions. The supplied Addendum Q11/Q12 changes 99.5% availability and RTO 8h/RPO 24h, but is future-dated and must be confirmed operative; reconcile measurement, exclusions, credit bands and avoid converting recovery targets into guarantees. [S4, pp.3–4; S5, Sections 5–6, 12.5–14.5; S6, Clause review]</w:t>
            </w:r>
          </w:p>
        </w:tc>
      </w:tr>
    </w:tbl>
    <w:p>
      <w:pPr>
        <w:spacing w:after="20"/>
      </w:pPr>
    </w:p>
    <w:p>
      <w:pPr>
        <w:pStyle w:val="Heading2"/>
        <w:keepNext/>
      </w:pPr>
      <w:r>
        <w:rPr>
          <w:rFonts w:ascii="Aptos" w:hAnsi="Aptos" w:eastAsia="Aptos"/>
          <w:b/>
          <w:i w:val="0"/>
          <w:color w:val="225B79"/>
          <w:sz w:val="22"/>
        </w:rPr>
        <w:t>Commercial envelope  ·  source-file figures; validate before use</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2304"/>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5"/>
              </w:rPr>
              <w:t>Charge</w:t>
            </w:r>
          </w:p>
        </w:tc>
        <w:tc>
          <w:tcPr>
            <w:tcW w:type="dxa" w:w="2160"/>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5"/>
              </w:rPr>
              <w:t>Amount</w:t>
            </w:r>
          </w:p>
        </w:tc>
        <w:tc>
          <w:tcPr>
            <w:tcW w:type="dxa" w:w="5616"/>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5"/>
              </w:rPr>
              <w:t>Scope / boundary</w:t>
            </w:r>
          </w:p>
        </w:tc>
      </w:tr>
      <w:tr>
        <w:trPr/>
        <w:tc>
          <w:tcPr>
            <w:tcW w:type="dxa" w:w="2304"/>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60 Enterprise seats</w:t>
            </w:r>
          </w:p>
        </w:tc>
        <w:tc>
          <w:tcPr>
            <w:tcW w:type="dxa" w:w="2160"/>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$64,800 / year</w:t>
            </w:r>
          </w:p>
        </w:tc>
        <w:tc>
          <w:tcPr>
            <w:tcW w:type="dxa" w:w="5616"/>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60 × $1,080; 18.0m annual pooled Credits stated.</w:t>
            </w:r>
          </w:p>
        </w:tc>
      </w:tr>
      <w:tr>
        <w:trPr/>
        <w:tc>
          <w:tcPr>
            <w:tcW w:type="dxa" w:w="2304"/>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Enhanced P1 support</w:t>
            </w:r>
          </w:p>
        </w:tc>
        <w:tc>
          <w:tcPr>
            <w:tcW w:type="dxa" w:w="2160"/>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$4,800 / year</w:t>
            </w:r>
          </w:p>
        </w:tc>
        <w:tc>
          <w:tcPr>
            <w:tcW w:type="dxa" w:w="5616"/>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24×7 P1, one-hour initial response only; P2/P3 remain business-hours.</w:t>
            </w:r>
          </w:p>
        </w:tc>
      </w:tr>
      <w:tr>
        <w:trPr/>
        <w:tc>
          <w:tcPr>
            <w:tcW w:type="dxa" w:w="2304"/>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Implementation</w:t>
            </w:r>
          </w:p>
        </w:tc>
        <w:tc>
          <w:tcPr>
            <w:tcW w:type="dxa" w:w="2160"/>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$9,600 once</w:t>
            </w:r>
          </w:p>
        </w:tc>
        <w:tc>
          <w:tcPr>
            <w:tcW w:type="dxa" w:w="5616"/>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Two workflows, two admin sessions, two end-user sessions; fixed scope; six-week period.</w:t>
            </w:r>
          </w:p>
        </w:tc>
      </w:tr>
      <w:tr>
        <w:trPr/>
        <w:tc>
          <w:tcPr>
            <w:tcW w:type="dxa" w:w="2304"/>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Total</w:t>
            </w:r>
          </w:p>
        </w:tc>
        <w:tc>
          <w:tcPr>
            <w:tcW w:type="dxa" w:w="2160"/>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$79,200 year one; $69,600 recurring</w:t>
            </w:r>
          </w:p>
        </w:tc>
        <w:tc>
          <w:tcPr>
            <w:tcW w:type="dxa" w:w="5616"/>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5"/>
              </w:rPr>
              <w:t>Before tax; optional $600 / 250,000-Credit pack excluded; net 30 stated; quote says approved for issue, not accepted.</w:t>
            </w:r>
          </w:p>
        </w:tc>
      </w:tr>
    </w:tbl>
    <w:p>
      <w:pPr>
        <w:spacing w:after="20"/>
      </w:pPr>
    </w:p>
    <w:p>
      <w:pPr>
        <w:keepNext w:val="0"/>
        <w:spacing w:before="0" w:after="100" w:line="259" w:lineRule="auto"/>
      </w:pPr>
      <w:r>
        <w:rPr>
          <w:rFonts w:ascii="Aptos" w:hAnsi="Aptos" w:eastAsia="Aptos"/>
          <w:b w:val="0"/>
          <w:i w:val="0"/>
          <w:color w:val="23343C"/>
          <w:sz w:val="17"/>
        </w:rPr>
        <w:t>The brief records a $125,000 evaluation ceiling for first-year vendor fees plus valued internal effort, before tax. It also records 96 setup hours ($8,160), 180 user-training hours ($15,300) and 8 admin hours/month ($8,160/year). Applying the later-dated quote mechanically gives $110,820 vendor + internal effort before tax, optional Credits and any other outlay; this is arithmetic, not approved spend or a validated quote. [S7, Quote/Scope; S8, Section 6]</w:t>
      </w:r>
    </w:p>
    <w:tbl>
      <w:tblPr>
        <w:tblW w:type="auto" w:w="0"/>
        <w:jc w:val="center"/>
        <w:tblLayout w:type="fixed"/>
        <w:tblLook w:firstColumn="1" w:firstRow="1" w:lastColumn="0" w:lastRow="0" w:noHBand="0" w:noVBand="1" w:val="04A0"/>
      </w:tblPr>
      <w:tblGrid>
        <w:gridCol w:w="10166"/>
      </w:tblGrid>
      <w:tr>
        <w:tc>
          <w:tcPr>
            <w:tcW w:type="dxa" w:w="10080"/>
            <w:shd w:fill="FFF5E8" w:val="clear"/>
            <w:tcMar>
              <w:top w:w="130" w:type="dxa"/>
              <w:start w:w="180" w:type="dxa"/>
              <w:bottom w:w="130" w:type="dxa"/>
              <w:end w:w="180" w:type="dxa"/>
            </w:tcMar>
            <w:tcBorders>
              <w:top w:val="nil"/>
              <w:left w:val="single" w:sz="18" w:color="B67918"/>
              <w:bottom w:val="nil"/>
              <w:right w:val="nil"/>
            </w:tcBorders>
          </w:tcPr>
          <w:p>
            <w:pPr>
              <w:keepNext w:val="0"/>
              <w:spacing w:before="0" w:after="60" w:line="252" w:lineRule="auto"/>
            </w:pPr>
            <w:r>
              <w:rPr>
                <w:rFonts w:ascii="Aptos" w:hAnsi="Aptos" w:eastAsia="Aptos"/>
                <w:b/>
                <w:i w:val="0"/>
                <w:color w:val="B67918"/>
                <w:sz w:val="16"/>
              </w:rPr>
              <w:t>VALUE CASE</w:t>
            </w:r>
          </w:p>
          <w:p>
            <w:pPr>
              <w:keepNext w:val="0"/>
              <w:spacing w:before="0" w:after="0" w:line="259" w:lineRule="auto"/>
            </w:pPr>
            <w:r>
              <w:rPr>
                <w:rFonts w:ascii="Aptos" w:hAnsi="Aptos" w:eastAsia="Aptos"/>
                <w:b w:val="0"/>
                <w:i w:val="0"/>
                <w:color w:val="23343C"/>
                <w:sz w:val="17"/>
              </w:rPr>
              <w:t>Value case: 35% eligible-time reduction and 70% adoption are planning assumptions only. At $85/hour the basis values capacity, not billable revenue or cash savings. No ROI, cash payback, headcount saving or first-year realized benefit is established until the pilot and Finance review. [S8, Sections 6.2–6.4; S4, Q23–Q24]</w:t>
            </w:r>
          </w:p>
        </w:tc>
      </w:tr>
    </w:tbl>
    <w:p>
      <w:pPr>
        <w:spacing w:after="20"/>
      </w:pPr>
    </w:p>
    <w:p>
      <w:pPr>
        <w:pStyle w:val="Heading1"/>
        <w:keepNext/>
        <w:pageBreakBefore w:val="0"/>
      </w:pPr>
      <w:r>
        <w:rPr>
          <w:rFonts w:ascii="Aptos" w:hAnsi="Aptos" w:eastAsia="Aptos"/>
          <w:b/>
          <w:i w:val="0"/>
          <w:color w:val="146857"/>
          <w:sz w:val="20"/>
        </w:rPr>
        <w:t xml:space="preserve">03  </w:t>
      </w:r>
      <w:r>
        <w:rPr>
          <w:rFonts w:ascii="Aptos" w:hAnsi="Aptos" w:eastAsia="Aptos"/>
          <w:b/>
          <w:i w:val="0"/>
          <w:color w:val="183047"/>
          <w:sz w:val="34"/>
        </w:rPr>
        <w:t>Competitive position and win/loss signal</w:t>
      </w:r>
    </w:p>
    <w:p>
      <w:pPr>
        <w:keepNext w:val="0"/>
        <w:spacing w:before="0" w:after="140" w:line="259" w:lineRule="auto"/>
      </w:pPr>
      <w:r>
        <w:rPr>
          <w:rFonts w:ascii="Aptos" w:hAnsi="Aptos" w:eastAsia="Aptos"/>
          <w:b w:val="0"/>
          <w:i w:val="0"/>
          <w:color w:val="23343C"/>
          <w:sz w:val="18"/>
        </w:rPr>
        <w:t>Compare the editions actually evidenced: Noumi Enterprise 2026.3 (Product Capabilities v1.1, 28 Sep 2026; Security &amp; Data Handling v1.0, 28 Sep 2026) versus Crestline Workbench 6.2 Enterprise guide C-WB-62-202609 rev 1.0 (published 21 Sep 2026). “Not described” means Unconfirmed, not Unsupported. The comparison is not a weighted score. [S9–S11]</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512"/>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Decision axis</w:t>
            </w:r>
          </w:p>
        </w:tc>
        <w:tc>
          <w:tcPr>
            <w:tcW w:type="dxa" w:w="2909"/>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Noumi Enterprise 2026.3</w:t>
            </w:r>
          </w:p>
        </w:tc>
        <w:tc>
          <w:tcPr>
            <w:tcW w:type="dxa" w:w="2909"/>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Crestline Workbench 6.2</w:t>
            </w:r>
          </w:p>
        </w:tc>
        <w:tc>
          <w:tcPr>
            <w:tcW w:type="dxa" w:w="2837"/>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AsterVale implication</w:t>
            </w:r>
          </w:p>
        </w:tc>
      </w:tr>
      <w:tr>
        <w:trPr/>
        <w:tc>
          <w:tcPr>
            <w:tcW w:type="dxa" w:w="1512"/>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Context &amp; memory</w:t>
            </w:r>
          </w:p>
        </w:tc>
        <w:tc>
          <w:tcPr>
            <w:tcW w:type="dxa" w:w="290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Project files and scoped memory reuse across tasks; visible/correctable user preferences. Limits: retrieval not exhaustive; stale sources can surface; not a records-management system.</w:t>
            </w:r>
          </w:p>
        </w:tc>
        <w:tc>
          <w:tcPr>
            <w:tcW w:type="dxa" w:w="290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Governed collections, selected saved investigations and source revision signals. New tasks require explicit selection/configuration/manual assembly; no general user-managed memory ledger is described.</w:t>
            </w:r>
          </w:p>
        </w:tc>
        <w:tc>
          <w:tcPr>
            <w:tcW w:type="dxa" w:w="2837"/>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Noumi edge if the buying center values continuity between proposal and briefing; test source freshness, cross-engagement isolation and memory scope.</w:t>
            </w:r>
          </w:p>
        </w:tc>
      </w:tr>
      <w:tr>
        <w:trPr/>
        <w:tc>
          <w:tcPr>
            <w:tcW w:type="dxa" w:w="1512"/>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Editable outputs</w:t>
            </w:r>
          </w:p>
        </w:tc>
        <w:tc>
          <w:tcPr>
            <w:tcW w:type="dxa" w:w="290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Native DOCX, XLSX and PPTX; exact arbitrary layouts, embedded objects and advanced animations not guaranteed.</w:t>
            </w:r>
          </w:p>
        </w:tc>
        <w:tc>
          <w:tcPr>
            <w:tcW w:type="dxa" w:w="290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DOCX/PDF/Markdown and CSV export; guide explicitly says no native editable PPTX or formula-bearing XLSX generation.</w:t>
            </w:r>
          </w:p>
        </w:tc>
        <w:tc>
          <w:tcPr>
            <w:tcW w:type="dxa" w:w="2837"/>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Noumi advantage on editable deliverable breadth; score reviewer reconstruction and corrections, not first-draft speed.</w:t>
            </w:r>
          </w:p>
        </w:tc>
      </w:tr>
      <w:tr>
        <w:trPr/>
        <w:tc>
          <w:tcPr>
            <w:tcW w:type="dxa" w:w="1512"/>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Governance &amp; identity</w:t>
            </w:r>
          </w:p>
        </w:tc>
        <w:tc>
          <w:tcPr>
            <w:tcW w:type="dxa" w:w="290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Configurable SAML; no SCIM. Lifecycle process is manual. Nested-group inheritance not documented; no central access to every private conversation.</w:t>
            </w:r>
          </w:p>
        </w:tc>
        <w:tc>
          <w:tcPr>
            <w:tcW w:type="dxa" w:w="290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SAML 2.0 + SCIM 2.0 for users/groups; named collection owners, review/retirement and legal hold. Nested-group behavior is Unconfirmed in the supplied guide.</w:t>
            </w:r>
          </w:p>
        </w:tc>
        <w:tc>
          <w:tcPr>
            <w:tcW w:type="dxa" w:w="2837"/>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Crestline edge where automated provisioning and governed reference publication dominate; AsterVale must accept or reject Noumi’s manual model.</w:t>
            </w:r>
          </w:p>
        </w:tc>
      </w:tr>
      <w:tr>
        <w:trPr/>
        <w:tc>
          <w:tcPr>
            <w:tcW w:type="dxa" w:w="1512"/>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Connector / security</w:t>
            </w:r>
          </w:p>
        </w:tc>
        <w:tc>
          <w:tcPr>
            <w:tcW w:type="dxa" w:w="290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M365 file read + email draft require configuration and consent; no Notion two-way sync. Singapore processing register names hosting and inference parties; Noumi has no ISO 27001/SOC 2 assertion.</w:t>
            </w:r>
          </w:p>
        </w:tc>
        <w:tc>
          <w:tcPr>
            <w:tcW w:type="dxa" w:w="290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Workbench guide documents Notion read/write with approval controls and SharePoint/Drive/Confluence/Salesforce connectors. It gives Singapore or EU options; detailed AsterVale processing route and audit evidence remain to be confirmed.</w:t>
            </w:r>
          </w:p>
        </w:tc>
        <w:tc>
          <w:tcPr>
            <w:tcW w:type="dxa" w:w="2837"/>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Notion is Scored and M365 is the stated Must integration. Do not substitute one for the other. Product guide is not security assurance for either vendor.</w:t>
            </w:r>
          </w:p>
        </w:tc>
      </w:tr>
      <w:tr>
        <w:trPr/>
        <w:tc>
          <w:tcPr>
            <w:tcW w:type="dxa" w:w="1512"/>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Listed fees</w:t>
            </w:r>
          </w:p>
        </w:tc>
        <w:tc>
          <w:tcPr>
            <w:tcW w:type="dxa" w:w="290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Provided quote: $79,200 year one; $69,600 recurring, before tax; quote dated 14 Oct (future relative to memo).</w:t>
            </w:r>
          </w:p>
        </w:tc>
        <w:tc>
          <w:tcPr>
            <w:tcW w:type="dxa" w:w="290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Workbench 6.2 guide: $75,600 year one; $63,600 recurring, before tax; based on 60 users + published onboarding/support.</w:t>
            </w:r>
          </w:p>
        </w:tc>
        <w:tc>
          <w:tcPr>
            <w:tcW w:type="dxa" w:w="2837"/>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Crestline lists $3,600 less year one and $6,000 less recurring. Not normalized TCO: usage units, storage, integrations, implementation, internal effort, tax and overages differ.</w:t>
            </w:r>
          </w:p>
        </w:tc>
      </w:tr>
    </w:tbl>
    <w:p>
      <w:pPr>
        <w:spacing w:after="20"/>
      </w:pPr>
    </w:p>
    <w:p>
      <w:pPr>
        <w:pStyle w:val="Heading2"/>
        <w:keepNext/>
      </w:pPr>
      <w:r>
        <w:rPr>
          <w:rFonts w:ascii="Aptos" w:hAnsi="Aptos" w:eastAsia="Aptos"/>
          <w:b/>
          <w:i w:val="0"/>
          <w:color w:val="225B79"/>
          <w:sz w:val="22"/>
        </w:rPr>
        <w:t>What CRM history suggests—and does not</w:t>
      </w:r>
    </w:p>
    <w:p>
      <w:pPr>
        <w:keepNext w:val="0"/>
        <w:spacing w:before="0" w:after="100" w:line="259" w:lineRule="auto"/>
      </w:pPr>
      <w:r>
        <w:rPr>
          <w:rFonts w:ascii="Aptos" w:hAnsi="Aptos" w:eastAsia="Aptos"/>
          <w:b w:val="0"/>
          <w:i w:val="0"/>
          <w:color w:val="23343C"/>
          <w:sz w:val="17"/>
        </w:rPr>
        <w:t>The 40-record extract contains 18 Closed Won, 15 Closed Lost and 7 No Decision outcomes, all against Crestline. The nine purposefully selected direct comparables (consulting/advisory, 40–80 users, close workflow) are 6 won / 3 lost: 66.7% of decided deals. The 18 adjacent-risk records are 9 won / 2 lost / 7 no decision. The full decided-deal share is 18/33 (54.5%). These are descriptive, selected, small cohorts—not an AsterVale probability model; No Decision is not a loss. No AsterVale row appears in the CRM extract. [S12, 40 rows; S13, “Selection” and “Limitations”]</w:t>
      </w:r>
    </w:p>
    <w:p>
      <w:pPr>
        <w:pStyle w:val="ListBullet"/>
        <w:keepNext w:val="0"/>
        <w:spacing w:before="0" w:after="80" w:line="259" w:lineRule="auto"/>
      </w:pPr>
      <w:r>
        <w:rPr>
          <w:rFonts w:ascii="Aptos" w:hAnsi="Aptos" w:eastAsia="Aptos"/>
          <w:b w:val="0"/>
          <w:i w:val="0"/>
          <w:color w:val="23343C"/>
          <w:sz w:val="17"/>
        </w:rPr>
        <w:t>Relevant wins: MorrowPeak (OP-2025-0101; Noumi 2025.4 vs Crestline 6.0; 55 seats) cited editable proposal/workbook revisions in a buyer debrief; VelaBridge (OP-2025-0103; same versions; 46 seats) cited project continuity in pilot minutes; SableWing (OP-2026-0140; Noumi 2026.3 vs Crestline 6.1, not 6.2; 62 seats) cited a change carried into response and meeting material in pilot minutes. All are qualitative; SableWing is not a 6.2 comparison. [S12, records]</w:t>
      </w:r>
    </w:p>
    <w:p>
      <w:pPr>
        <w:pStyle w:val="ListBullet"/>
        <w:keepNext w:val="0"/>
        <w:spacing w:before="0" w:after="80" w:line="259" w:lineRule="auto"/>
      </w:pPr>
      <w:r>
        <w:rPr>
          <w:rFonts w:ascii="Aptos" w:hAnsi="Aptos" w:eastAsia="Aptos"/>
          <w:b w:val="0"/>
          <w:i w:val="0"/>
          <w:color w:val="23343C"/>
          <w:sz w:val="17"/>
        </w:rPr>
        <w:t>Relevant losses: LindenArc (OP-2026-0107; Noumi 2026.3 vs Crestline 6.2; 60 seats) buyer-confirmed Notion write-back loss; HarborElm (OP-2025-0104; Noumi 2025.4 vs Crestline 6.0; 63 seats) buyer-confirmed SCIM gate; JuniperSpan (OP-2025-0116; 2025.4 vs 6.0; 61 seats) assurance timing was seller-relayed, not direct buyer confirmation. These warn of real risks but do not establish AsterVale’s decision. [S12, records; S13]</w:t>
      </w:r>
    </w:p>
    <w:tbl>
      <w:tblPr>
        <w:tblW w:type="auto" w:w="0"/>
        <w:jc w:val="center"/>
        <w:tblLayout w:type="fixed"/>
        <w:tblLook w:firstColumn="1" w:firstRow="1" w:lastColumn="0" w:lastRow="0" w:noHBand="0" w:noVBand="1" w:val="04A0"/>
      </w:tblPr>
      <w:tblGrid>
        <w:gridCol w:w="10166"/>
      </w:tblGrid>
      <w:tr>
        <w:tc>
          <w:tcPr>
            <w:tcW w:type="dxa" w:w="10080"/>
            <w:shd w:fill="EAF4EF" w:val="clear"/>
            <w:tcMar>
              <w:top w:w="130" w:type="dxa"/>
              <w:start w:w="180" w:type="dxa"/>
              <w:bottom w:w="130" w:type="dxa"/>
              <w:end w:w="180" w:type="dxa"/>
            </w:tcMar>
            <w:tcBorders>
              <w:top w:val="nil"/>
              <w:left w:val="single" w:sz="18" w:color="146857"/>
              <w:bottom w:val="nil"/>
              <w:right w:val="nil"/>
            </w:tcBorders>
          </w:tcPr>
          <w:p>
            <w:pPr>
              <w:keepNext w:val="0"/>
              <w:spacing w:before="0" w:after="60" w:line="252" w:lineRule="auto"/>
            </w:pPr>
            <w:r>
              <w:rPr>
                <w:rFonts w:ascii="Aptos" w:hAnsi="Aptos" w:eastAsia="Aptos"/>
                <w:b/>
                <w:i w:val="0"/>
                <w:color w:val="146857"/>
                <w:sz w:val="16"/>
              </w:rPr>
              <w:t>COMPETITIVE CONCLUSION</w:t>
            </w:r>
          </w:p>
          <w:p>
            <w:pPr>
              <w:keepNext w:val="0"/>
              <w:spacing w:before="0" w:after="0" w:line="259" w:lineRule="auto"/>
            </w:pPr>
            <w:r>
              <w:rPr>
                <w:rFonts w:ascii="Aptos" w:hAnsi="Aptos" w:eastAsia="Aptos"/>
                <w:b w:val="0"/>
                <w:i w:val="0"/>
                <w:color w:val="23343C"/>
                <w:sz w:val="17"/>
              </w:rPr>
              <w:t>Compete on connected work and native editable handoff, but give Crestline’s governed-library and SCIM case equal weight. Proceed only if AsterVale confirms those are not hard requirements and security/contract gates close. Do not call a likely win from the historical ratios.</w:t>
            </w:r>
          </w:p>
        </w:tc>
      </w:tr>
    </w:tbl>
    <w:p>
      <w:pPr>
        <w:spacing w:after="20"/>
      </w:pPr>
    </w:p>
    <w:p>
      <w:pPr>
        <w:pStyle w:val="Heading1"/>
        <w:keepNext/>
        <w:pageBreakBefore/>
      </w:pPr>
      <w:r>
        <w:rPr>
          <w:rFonts w:ascii="Aptos" w:hAnsi="Aptos" w:eastAsia="Aptos"/>
          <w:b/>
          <w:i w:val="0"/>
          <w:color w:val="146857"/>
          <w:sz w:val="20"/>
        </w:rPr>
        <w:t xml:space="preserve">04  </w:t>
      </w:r>
      <w:r>
        <w:rPr>
          <w:rFonts w:ascii="Aptos" w:hAnsi="Aptos" w:eastAsia="Aptos"/>
          <w:b/>
          <w:i w:val="0"/>
          <w:color w:val="183047"/>
          <w:sz w:val="34"/>
        </w:rPr>
        <w:t>Conditions, owners and approvals to proceed</w:t>
      </w:r>
    </w:p>
    <w:p>
      <w:pPr>
        <w:keepNext w:val="0"/>
        <w:spacing w:before="0" w:after="160" w:line="259" w:lineRule="auto"/>
      </w:pPr>
      <w:r>
        <w:rPr>
          <w:rFonts w:ascii="Aptos" w:hAnsi="Aptos" w:eastAsia="Aptos"/>
          <w:b w:val="0"/>
          <w:i w:val="0"/>
          <w:color w:val="23343C"/>
          <w:sz w:val="18"/>
        </w:rPr>
        <w:t>“Open” means no approval or customer acceptance is evidenced. Function approvals must attach to the exact language, scope and evidence; one function’s approval does not substitute for another. Names for Noumi Legal, Security, Finance, Commercial, Service Operations, executive exception authority and authorized signatory are not supplied, so this memo assigns roles, not invented individuals. [S6, Contract Acceptance Guidelines Sections 1, 6–8]</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325"/>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3"/>
              </w:rPr>
              <w:t>Gate</w:t>
            </w:r>
          </w:p>
        </w:tc>
        <w:tc>
          <w:tcPr>
            <w:tcW w:type="dxa" w:w="2275"/>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3"/>
              </w:rPr>
              <w:t>Owner / approver</w:t>
            </w:r>
          </w:p>
        </w:tc>
        <w:tc>
          <w:tcPr>
            <w:tcW w:type="dxa" w:w="5227"/>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3"/>
              </w:rPr>
              <w:t>Evidence and closure condition</w:t>
            </w:r>
          </w:p>
        </w:tc>
        <w:tc>
          <w:tcPr>
            <w:tcW w:type="dxa" w:w="1253"/>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3"/>
              </w:rPr>
              <w:t>When</w:t>
            </w:r>
          </w:p>
        </w:tc>
      </w:tr>
      <w:tr>
        <w:trPr/>
        <w:tc>
          <w:tcPr>
            <w:tcW w:type="dxa" w:w="1325"/>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1 • Confirm source &amp; path</w:t>
            </w:r>
          </w:p>
        </w:tc>
        <w:tc>
          <w:tcPr>
            <w:tcW w:type="dxa" w:w="2275"/>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Daniel Mercer (Noumi bid owner); Maya Chen / Procurement for official confirmation.</w:t>
            </w:r>
          </w:p>
        </w:tc>
        <w:tc>
          <w:tcPr>
            <w:tcW w:type="dxa" w:w="5227"/>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Reconcile the RFP issue/deadline and published addenda against the 30 Sep decision date; confirm the six-chapter response, current quote/validity and whether deviations are negotiable. Preserve source versions.</w:t>
            </w:r>
          </w:p>
        </w:tc>
        <w:tc>
          <w:tcPr>
            <w:tcW w:type="dxa" w:w="1253"/>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Before any external submission.</w:t>
            </w:r>
          </w:p>
        </w:tc>
      </w:tr>
      <w:tr>
        <w:trPr/>
        <w:tc>
          <w:tcPr>
            <w:tcW w:type="dxa" w:w="1325"/>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2 • Approve bid posture</w:t>
            </w:r>
          </w:p>
        </w:tc>
        <w:tc>
          <w:tcPr>
            <w:tcW w:type="dxa" w:w="2275"/>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Account owner + Commercial lead; Legal lead; Finance lead; Security and Service Operations for their subjects.</w:t>
            </w:r>
          </w:p>
        </w:tc>
        <w:tc>
          <w:tcPr>
            <w:tcW w:type="dxa" w:w="5227"/>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Approve a clause-by-clause deviation schedule and exact proposed wording. No unqualified compliance statement. Escalate &gt;1.5× general cap and uncapped exposure for executive exception; false/unavailable commitments cannot be approved.</w:t>
            </w:r>
          </w:p>
        </w:tc>
        <w:tc>
          <w:tcPr>
            <w:tcW w:type="dxa" w:w="1253"/>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Before submission; re-review changed wording.</w:t>
            </w:r>
          </w:p>
        </w:tc>
      </w:tr>
      <w:tr>
        <w:trPr/>
        <w:tc>
          <w:tcPr>
            <w:tcW w:type="dxa" w:w="1325"/>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3 • Security/data approval</w:t>
            </w:r>
          </w:p>
        </w:tc>
        <w:tc>
          <w:tcPr>
            <w:tcW w:type="dxa" w:w="2275"/>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Noumi Security + Legal + Service Operations; customer Leila Tan for production security; Omar Shah for IT route.</w:t>
            </w:r>
          </w:p>
        </w:tc>
        <w:tc>
          <w:tcPr>
            <w:tcW w:type="dxa" w:w="5227"/>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Validate Singapore storage, backup, inference, support and connector paths; no-training terms; incident trigger; retention/export; evidence, permissions and any customer exception. Customer production security approval must be recorded.</w:t>
            </w:r>
          </w:p>
        </w:tc>
        <w:tc>
          <w:tcPr>
            <w:tcW w:type="dxa" w:w="1253"/>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Before pilot access scope / production.</w:t>
            </w:r>
          </w:p>
        </w:tc>
      </w:tr>
      <w:tr>
        <w:trPr/>
        <w:tc>
          <w:tcPr>
            <w:tcW w:type="dxa" w:w="1325"/>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4 • Commercial/budget</w:t>
            </w:r>
          </w:p>
        </w:tc>
        <w:tc>
          <w:tcPr>
            <w:tcW w:type="dxa" w:w="2275"/>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Noumi Finance + Commercial leads; customer Victor Hale (Finance Director); Daniel for coordination.</w:t>
            </w:r>
          </w:p>
        </w:tc>
        <w:tc>
          <w:tcPr>
            <w:tcW w:type="dxa" w:w="5227"/>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Reconcile price, tax, Credits, invoice schedule, net 60 cash effect, exit/refund exposure, cap base and internal effort. Victor’s $125k is an evaluation ceiling, not approval to spend.</w:t>
            </w:r>
          </w:p>
        </w:tc>
        <w:tc>
          <w:tcPr>
            <w:tcW w:type="dxa" w:w="1253"/>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Before award / order.</w:t>
            </w:r>
          </w:p>
        </w:tc>
      </w:tr>
      <w:tr>
        <w:trPr/>
        <w:tc>
          <w:tcPr>
            <w:tcW w:type="dxa" w:w="1325"/>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5 • Identity &amp; operations</w:t>
            </w:r>
          </w:p>
        </w:tc>
        <w:tc>
          <w:tcPr>
            <w:tcW w:type="dxa" w:w="2275"/>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Noumi Product/Security; customer Omar Shah (Head of Business Systems).</w:t>
            </w:r>
          </w:p>
        </w:tc>
        <w:tc>
          <w:tcPr>
            <w:tcW w:type="dxa" w:w="5227"/>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Document SAML plus manual joiner/mover/leaver runbook; test direct + group grants, ownership transfer, offboarding and access removal. If SCIM or nested groups become hard gates, re-evaluate participation; do not imply they exist.</w:t>
            </w:r>
          </w:p>
        </w:tc>
        <w:tc>
          <w:tcPr>
            <w:tcW w:type="dxa" w:w="1253"/>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Before pilot acceptance; production readiness.</w:t>
            </w:r>
          </w:p>
        </w:tc>
      </w:tr>
      <w:tr>
        <w:trPr/>
        <w:tc>
          <w:tcPr>
            <w:tcW w:type="dxa" w:w="1325"/>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6 • Workflow/pilot proof</w:t>
            </w:r>
          </w:p>
        </w:tc>
        <w:tc>
          <w:tcPr>
            <w:tcW w:type="dxa" w:w="2275"/>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Priya Nair (solution lead); Jonah Reed and Rachel Bell (workflow acceptance); Elena Ward (sponsor / investment recommendation).</w:t>
            </w:r>
          </w:p>
        </w:tc>
        <w:tc>
          <w:tcPr>
            <w:tcW w:type="dxa" w:w="5227"/>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Agree preselected 12-user, 10-work-package scorecard; source versions, reviewer effort, factual corrections, editability/rework, usage and failed tasks. Keep the 35%/70% assumptions unvalidated until results are reviewed.</w:t>
            </w:r>
          </w:p>
        </w:tc>
        <w:tc>
          <w:tcPr>
            <w:tcW w:type="dxa" w:w="1253"/>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Pilot; evidence before rollout recommendation.</w:t>
            </w:r>
          </w:p>
        </w:tc>
      </w:tr>
      <w:tr>
        <w:trPr/>
        <w:tc>
          <w:tcPr>
            <w:tcW w:type="dxa" w:w="1325"/>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7 • Award &amp; signature</w:t>
            </w:r>
          </w:p>
        </w:tc>
        <w:tc>
          <w:tcPr>
            <w:tcW w:type="dxa" w:w="2275"/>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Maya Chen (procurement record); Elena Ward (business recommendation); Victor Hale (budget); Leila Tan (security); Noumi Legal + all relevant function leads; authorized signatory (name not provided).</w:t>
            </w:r>
          </w:p>
        </w:tc>
        <w:tc>
          <w:tcPr>
            <w:tcW w:type="dxa" w:w="5227"/>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Close all contract/security/commercial exceptions, confirm implementation responsibilities and signed order/schedules; customer award must be separately recorded in writing. Pilot or quote is not award or acceptance.</w:t>
            </w:r>
          </w:p>
        </w:tc>
        <w:tc>
          <w:tcPr>
            <w:tcW w:type="dxa" w:w="1253"/>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3"/>
              </w:rPr>
              <w:t>Before signature and paid production.</w:t>
            </w:r>
          </w:p>
        </w:tc>
      </w:tr>
    </w:tbl>
    <w:p>
      <w:pPr>
        <w:spacing w:after="20"/>
      </w:pPr>
    </w:p>
    <w:p>
      <w:pPr>
        <w:pStyle w:val="Heading2"/>
        <w:keepNext/>
      </w:pPr>
      <w:r>
        <w:rPr>
          <w:rFonts w:ascii="Aptos" w:hAnsi="Aptos" w:eastAsia="Aptos"/>
          <w:b/>
          <w:i w:val="0"/>
          <w:color w:val="225B79"/>
          <w:sz w:val="22"/>
        </w:rPr>
        <w:t>Decision rules</w:t>
      </w:r>
    </w:p>
    <w:p>
      <w:pPr>
        <w:pStyle w:val="ListBullet"/>
        <w:keepNext w:val="0"/>
        <w:spacing w:before="0" w:after="80" w:line="259" w:lineRule="auto"/>
      </w:pPr>
      <w:r>
        <w:rPr>
          <w:rFonts w:ascii="Aptos" w:hAnsi="Aptos" w:eastAsia="Aptos"/>
          <w:b w:val="0"/>
          <w:i w:val="0"/>
          <w:color w:val="23343C"/>
          <w:sz w:val="17"/>
        </w:rPr>
        <w:t>GO to submit only after Gate 1–2 and applicable Gate 3–4 decisions are documented, with exact contract exceptions clearly disclosed and no false certification or unsupported capability claim.</w:t>
      </w:r>
    </w:p>
    <w:p>
      <w:pPr>
        <w:pStyle w:val="ListBullet"/>
        <w:keepNext w:val="0"/>
        <w:spacing w:before="0" w:after="80" w:line="259" w:lineRule="auto"/>
      </w:pPr>
      <w:r>
        <w:rPr>
          <w:rFonts w:ascii="Aptos" w:hAnsi="Aptos" w:eastAsia="Aptos"/>
          <w:b w:val="0"/>
          <w:i w:val="0"/>
          <w:color w:val="23343C"/>
          <w:sz w:val="17"/>
        </w:rPr>
        <w:t>Continue to pilot only under written, limited evaluation terms and approved materials/access. If a date or security prerequisite slips, move the schedule; do not waive it to preserve a target.</w:t>
      </w:r>
    </w:p>
    <w:p>
      <w:pPr>
        <w:pStyle w:val="ListBullet"/>
        <w:keepNext w:val="0"/>
        <w:spacing w:before="0" w:after="80" w:line="259" w:lineRule="auto"/>
      </w:pPr>
      <w:r>
        <w:rPr>
          <w:rFonts w:ascii="Aptos" w:hAnsi="Aptos" w:eastAsia="Aptos"/>
          <w:b w:val="0"/>
          <w:i w:val="0"/>
          <w:color w:val="23343C"/>
          <w:sz w:val="17"/>
        </w:rPr>
        <w:t>NO-GO / stop escalation if AsterVale insists on uncapped exposure or an unqualified output non-infringement warranty, requires unavailable controls as mandatory, or an authorized internal owner cannot approve the exact risk. Reassess if the buyer makes manual provisioning, 24-hour awareness notice, net 60 or convenience refunds non-negotiable.</w:t>
      </w:r>
    </w:p>
    <w:p>
      <w:pPr>
        <w:pStyle w:val="Heading1"/>
        <w:keepNext/>
        <w:pageBreakBefore/>
      </w:pPr>
      <w:r>
        <w:rPr>
          <w:rFonts w:ascii="Aptos" w:hAnsi="Aptos" w:eastAsia="Aptos"/>
          <w:b/>
          <w:i w:val="0"/>
          <w:color w:val="146857"/>
          <w:sz w:val="20"/>
        </w:rPr>
        <w:t xml:space="preserve">05  </w:t>
      </w:r>
      <w:r>
        <w:rPr>
          <w:rFonts w:ascii="Aptos" w:hAnsi="Aptos" w:eastAsia="Aptos"/>
          <w:b/>
          <w:i w:val="0"/>
          <w:color w:val="183047"/>
          <w:sz w:val="34"/>
        </w:rPr>
        <w:t>Source register and decision method</w:t>
      </w:r>
    </w:p>
    <w:p>
      <w:pPr>
        <w:keepNext w:val="0"/>
        <w:spacing w:before="0" w:after="160" w:line="259" w:lineRule="auto"/>
      </w:pPr>
      <w:r>
        <w:rPr>
          <w:rFonts w:ascii="Aptos" w:hAnsi="Aptos" w:eastAsia="Aptos"/>
          <w:b w:val="0"/>
          <w:i w:val="0"/>
          <w:color w:val="23343C"/>
          <w:sz w:val="18"/>
        </w:rPr>
        <w:t>Evidence is cited in the body by source ID. File dates and versions are preserved as found. Later-dated source artifacts are not promoted to confirmed events as of 30 Sep 2026. Product capability statements retain version and source; for either vendor, a point absent from its reviewed material is Unconfirmed, not Unsupported. CRM outcome reasons remain at their recorded confirmation level.</w:t>
      </w:r>
    </w:p>
    <w:tbl>
      <w:tblPr>
        <w:tblW w:type="auto" w:w="0"/>
        <w:jc w:val="center"/>
        <w:tblLayout w:type="fixed"/>
        <w:tblLook w:firstColumn="1" w:firstRow="1" w:lastColumn="0" w:lastRow="0" w:noHBand="0" w:noVBand="1" w:val="04A0"/>
      </w:tblPr>
      <w:tblGrid>
        <w:gridCol w:w="5083"/>
        <w:gridCol w:w="5083"/>
      </w:tblGrid>
      <w:tr>
        <w:trPr>
          <w:tblHeader w:val="true"/>
        </w:trPr>
        <w:tc>
          <w:tcPr>
            <w:tcW w:type="dxa" w:w="749"/>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ID</w:t>
            </w:r>
          </w:p>
        </w:tc>
        <w:tc>
          <w:tcPr>
            <w:tcW w:type="dxa" w:w="9331"/>
            <w:vAlign w:val="center"/>
            <w:tcMar>
              <w:top w:w="75" w:type="dxa"/>
              <w:start w:w="80" w:type="dxa"/>
              <w:bottom w:w="75" w:type="dxa"/>
              <w:end w:w="80" w:type="dxa"/>
            </w:tcMar>
            <w:shd w:fill="183047"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i w:val="0"/>
                <w:color w:val="FFFFFF"/>
                <w:sz w:val="14"/>
              </w:rPr>
              <w:t>Source and use</w:t>
            </w:r>
          </w:p>
        </w:tc>
      </w:tr>
      <w:tr>
        <w:trPr/>
        <w:tc>
          <w:tcPr>
            <w:tcW w:type="dxa" w:w="74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[S1]</w:t>
            </w:r>
          </w:p>
        </w:tc>
        <w:tc>
          <w:tcPr>
            <w:tcW w:type="dxa" w:w="9331"/>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AsterVale_RFP.docx</w:t>
              <w:br/>
              <w:t>AV-RFP-2026-17, Issue 1.0, dated 1 Oct 2026. Procurement schedule and precedence (Section 1); scope and boundaries (Sections 2–4); evaluation weights (Section 5.2); response structure (Section 6); demo/pilot (Section 7); award readiness (Section 8); milestone and weighting tables.</w:t>
            </w:r>
          </w:p>
        </w:tc>
      </w:tr>
      <w:tr>
        <w:trPr/>
        <w:tc>
          <w:tcPr>
            <w:tcW w:type="dxa" w:w="74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[S2]</w:t>
            </w:r>
          </w:p>
        </w:tc>
        <w:tc>
          <w:tcPr>
            <w:tcW w:type="dxa" w:w="9331"/>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AsterVale_Specifications_Checklist.xlsx</w:t>
              <w:br/>
              <w:t>Requirements sheet, AV-001–AV-056 (rows 6–61); Response instructions sheet, status and evidence rules (rows 6–15).</w:t>
            </w:r>
          </w:p>
        </w:tc>
      </w:tr>
      <w:tr>
        <w:trPr/>
        <w:tc>
          <w:tcPr>
            <w:tcW w:type="dxa" w:w="74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[S3]</w:t>
            </w:r>
          </w:p>
        </w:tc>
        <w:tc>
          <w:tcPr>
            <w:tcW w:type="dxa" w:w="9331"/>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AsterVale_Requirements_Matrix.xlsx</w:t>
              <w:br/>
              <w:t>Read Me (source/version and status legend); Requirements Matrix sheet (RFP body and AV-001–056); Product Gaps, Clarifications and Contract Deviations sheets. The matrix says Addendum 01 is reflected; verify because its stated date is 9 Oct 2026.</w:t>
            </w:r>
          </w:p>
        </w:tc>
      </w:tr>
      <w:tr>
        <w:trPr/>
        <w:tc>
          <w:tcPr>
            <w:tcW w:type="dxa" w:w="74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[S4]</w:t>
            </w:r>
          </w:p>
        </w:tc>
        <w:tc>
          <w:tcPr>
            <w:tcW w:type="dxa" w:w="9331"/>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AsterVale_Official_QA.pdf</w:t>
              <w:br/>
              <w:t>Addendum 01, issued 9 Oct 2026. Q11–Q15, pp.3–4 (availability, recovery, region, incident notice, assurance); Q16–Q20, p.4 (deletion, training, payment, liability/termination, commercial); Q22–Q28, pp.5–6 (pilot, measurement, award). Future-dated relative to this memo.</w:t>
            </w:r>
          </w:p>
        </w:tc>
      </w:tr>
      <w:tr>
        <w:trPr/>
        <w:tc>
          <w:tcPr>
            <w:tcW w:type="dxa" w:w="74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[S5]</w:t>
            </w:r>
          </w:p>
        </w:tc>
        <w:tc>
          <w:tcPr>
            <w:tcW w:type="dxa" w:w="9331"/>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AsterVale_Service_Agreement.docx</w:t>
              <w:br/>
              <w:t>procurement draft v1.0, dated 1 Oct 2026, unsigned. Payment Section 4.2; AI/data Section 5; incident Section 6.3; output/IP Sections 8.1–8.3 and 10; liability Section 11; convenience termination Section 12.3; audit Section 13.1; Schedules 1–3.</w:t>
            </w:r>
          </w:p>
        </w:tc>
      </w:tr>
      <w:tr>
        <w:trPr/>
        <w:tc>
          <w:tcPr>
            <w:tcW w:type="dxa" w:w="74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[S6]</w:t>
            </w:r>
          </w:p>
        </w:tc>
        <w:tc>
          <w:tcPr>
            <w:tcW w:type="dxa" w:w="9331"/>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AsterVale_Clause_Review.xlsx</w:t>
              <w:br/>
              <w:t>Bid decision sheet, rows 9–24; Clause review sheet, AV-01–AV-30 (rows 7–36); Exposure illustration sheet, fee/cap assumptions. Noumi_Contract_Acceptance_Guidelines.md, version 1.0, 28 Sep 2026, Sections 1–8. Internal review, not legal advice or approval.</w:t>
            </w:r>
          </w:p>
        </w:tc>
      </w:tr>
      <w:tr>
        <w:trPr/>
        <w:tc>
          <w:tcPr>
            <w:tcW w:type="dxa" w:w="74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[S7]</w:t>
            </w:r>
          </w:p>
        </w:tc>
        <w:tc>
          <w:tcPr>
            <w:tcW w:type="dxa" w:w="9331"/>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AsterVale_Quote.xlsx</w:t>
              <w:br/>
              <w:t>AV-Q-2026-041 v1.0, issued 14 Oct 2026; Quote sheet (line items and totals, rows 5–23); Scope and conditions (rows 5–20). Quote date is future relative to the memo and customer acceptance is explicitly outstanding.</w:t>
            </w:r>
          </w:p>
        </w:tc>
      </w:tr>
      <w:tr>
        <w:trPr/>
        <w:tc>
          <w:tcPr>
            <w:tcW w:type="dxa" w:w="74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[S8]</w:t>
            </w:r>
          </w:p>
        </w:tc>
        <w:tc>
          <w:tcPr>
            <w:tcW w:type="dxa" w:w="9331"/>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AsterVale_Opportunity_Brief.md</w:t>
              <w:br/>
              <w:t>AV-2026-041, version 1.1, snapshot 1 Oct 2026; Sections 1–5 (opportunity, customer roles/timing), Section 6 (workload, costs and assumptions), Sections 7–10 (competition, open items and sources). Future snapshot relative to this memo.</w:t>
            </w:r>
          </w:p>
        </w:tc>
      </w:tr>
      <w:tr>
        <w:trPr/>
        <w:tc>
          <w:tcPr>
            <w:tcW w:type="dxa" w:w="74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[S9]</w:t>
            </w:r>
          </w:p>
        </w:tc>
        <w:tc>
          <w:tcPr>
            <w:tcW w:type="dxa" w:w="9331"/>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Noumi_Product_Capabilities.md</w:t>
              <w:br/>
              <w:t>Noumi Enterprise 2026.3, version 1.1, 28 Sep 2026; capability register CAP-001–CAP-046, especially CAP-003/006, CAP-008–010, CAP-020–022, CAP-030/035–046.</w:t>
            </w:r>
          </w:p>
        </w:tc>
      </w:tr>
      <w:tr>
        <w:trPr/>
        <w:tc>
          <w:tcPr>
            <w:tcW w:type="dxa" w:w="74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[S10]</w:t>
            </w:r>
          </w:p>
        </w:tc>
        <w:tc>
          <w:tcPr>
            <w:tcW w:type="dxa" w:w="9331"/>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Noumi_Security_and_Data_Handling.md</w:t>
              <w:br/>
              <w:t>Enterprise 2026.3, version 1.0, 28 Sep 2026; processing register and location (Section 1); trust boundaries and access (Sections 3–4); model processing (Section 6); lifecycle/deletion (Section 7); recovery and incident notice (Sections 8–10); evidence (Section 12).</w:t>
            </w:r>
          </w:p>
        </w:tc>
      </w:tr>
      <w:tr>
        <w:trPr/>
        <w:tc>
          <w:tcPr>
            <w:tcW w:type="dxa" w:w="74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[S11]</w:t>
            </w:r>
          </w:p>
        </w:tc>
        <w:tc>
          <w:tcPr>
            <w:tcW w:type="dxa" w:w="9331"/>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Crestline_Product_Documentation.pdf</w:t>
              <w:br/>
              <w:t>Crestline Knowledge Systems, Workbench 6.2 Enterprise guide C-WB-62-202609, revision 1.0, published 21 Sep 2026; information model p.2; connectors p.3; governance p.4; retrieval/personalization p.5; drafting/exports p.6; identity/security p.7; onboarding p.8; pricing p.9.</w:t>
            </w:r>
          </w:p>
        </w:tc>
      </w:tr>
      <w:tr>
        <w:trPr/>
        <w:tc>
          <w:tcPr>
            <w:tcW w:type="dxa" w:w="74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[S12]</w:t>
            </w:r>
          </w:p>
        </w:tc>
        <w:tc>
          <w:tcPr>
            <w:tcW w:type="dxa" w:w="9331"/>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CRM_Opportunity_History.csv</w:t>
              <w:br/>
              <w:t>40 records; fields include outcome, licensed users, Noumi and competitor versions, reason source, confirmation level and verification date. All list Crestline as competitor. Use record IDs and retain buyer-confirmed vs seller-relayed labels.</w:t>
            </w:r>
          </w:p>
        </w:tc>
      </w:tr>
      <w:tr>
        <w:trPr/>
        <w:tc>
          <w:tcPr>
            <w:tcW w:type="dxa" w:w="749"/>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[S13]</w:t>
            </w:r>
          </w:p>
        </w:tc>
        <w:tc>
          <w:tcPr>
            <w:tcW w:type="dxa" w:w="9331"/>
            <w:vAlign w:val="center"/>
            <w:tcMar>
              <w:top w:w="75" w:type="dxa"/>
              <w:start w:w="80" w:type="dxa"/>
              <w:bottom w:w="75" w:type="dxa"/>
              <w:end w:w="80" w:type="dxa"/>
            </w:tcMar>
            <w:shd w:fill="FFFFFF"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AsterVale_CRM_Win_Loss_and_Competitive_Analysis.html</w:t>
              <w:br/>
              <w:t>“Deal signals, not a forecast,” internal analysis dated 30 Sep 2026; “Outcome signal,” “Selection logic,” “Competitive fit,” “Next moves,” “Limitations” and source register. It discloses selected cohorts and future-dated-source conflicts.</w:t>
            </w:r>
          </w:p>
        </w:tc>
      </w:tr>
      <w:tr>
        <w:trPr/>
        <w:tc>
          <w:tcPr>
            <w:tcW w:type="dxa" w:w="749"/>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[S14]</w:t>
            </w:r>
          </w:p>
        </w:tc>
        <w:tc>
          <w:tcPr>
            <w:tcW w:type="dxa" w:w="9331"/>
            <w:vAlign w:val="center"/>
            <w:tcMar>
              <w:top w:w="75" w:type="dxa"/>
              <w:start w:w="80" w:type="dxa"/>
              <w:bottom w:w="75" w:type="dxa"/>
              <w:end w:w="80" w:type="dxa"/>
            </w:tcMar>
            <w:shd w:fill="F6F8F8" w:val="clear"/>
            <w:tcBorders>
              <w:top w:val="single" w:sz="6" w:color="D5DEE2"/>
              <w:left w:val="single" w:sz="6" w:color="D5DEE2"/>
              <w:bottom w:val="single" w:sz="6" w:color="D5DEE2"/>
              <w:right w:val="single" w:sz="6" w:color="D5DEE2"/>
            </w:tcBorders>
          </w:tcPr>
          <w:p>
            <w:pPr>
              <w:keepNext w:val="0"/>
              <w:spacing w:before="0" w:after="0" w:line="245" w:lineRule="auto"/>
            </w:pPr>
            <w:r>
              <w:rPr>
                <w:rFonts w:ascii="Aptos" w:hAnsi="Aptos" w:eastAsia="Aptos"/>
                <w:b w:val="0"/>
                <w:i w:val="0"/>
                <w:color w:val="23343C"/>
                <w:sz w:val="14"/>
              </w:rPr>
              <w:t>AsterVale_Meeting_Transcript.md</w:t>
              <w:br/>
              <w:t>supplier demonstration transcript, version 1.0, dated 22 Oct 2026; Sections 15:05–15:59. It records claimed test results and open conditions but is future-dated relative to this memo and does not establish current completion, award or approval.</w:t>
            </w:r>
          </w:p>
        </w:tc>
      </w:tr>
    </w:tbl>
    <w:sectPr w:rsidR="00FC693F" w:rsidRPr="0006063C" w:rsidSect="00034616">
      <w:footerReference w:type="default" r:id="rId9"/>
      <w:headerReference w:type="default" r:id="rId10"/>
      <w:pgSz w:w="12240" w:h="15840"/>
      <w:pgMar w:top="893" w:right="1037" w:bottom="835"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spacing w:before="0" w:after="0" w:line="240" w:lineRule="auto"/>
      <w:jc w:val="right"/>
    </w:pPr>
    <w:r>
      <w:rPr>
        <w:rFonts w:ascii="Aptos" w:hAnsi="Aptos" w:eastAsia="Aptos"/>
        <w:b w:val="0"/>
        <w:i w:val="0"/>
        <w:color w:val="5E7079"/>
        <w:sz w:val="15"/>
      </w:rPr>
      <w:t xml:space="preserve">Noumi · AsterVale · Internal decision support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5083"/>
      <w:gridCol w:w="5083"/>
    </w:tblGrid>
    <w:tr>
      <w:tc>
        <w:tcPr>
          <w:tcW w:type="dxa" w:w="6912"/>
          <w:tcMar>
            <w:top w:w="0" w:type="dxa"/>
            <w:start w:w="0" w:type="dxa"/>
            <w:bottom w:w="60" w:type="dxa"/>
            <w:end w:w="0" w:type="dxa"/>
          </w:tcMar>
          <w:tcBorders>
            <w:bottom w:val="single" w:sz="7" w:color="D5DEE2"/>
          </w:tcBorders>
        </w:tcPr>
        <w:p>
          <w:pPr>
            <w:keepNext w:val="0"/>
            <w:spacing w:before="0" w:after="40" w:line="240" w:lineRule="auto"/>
          </w:pPr>
          <w:r>
            <w:rPr>
              <w:rFonts w:ascii="Aptos" w:hAnsi="Aptos" w:eastAsia="Aptos"/>
              <w:b/>
              <w:i w:val="0"/>
              <w:color w:val="5E7079"/>
              <w:sz w:val="15"/>
            </w:rPr>
            <w:t>NOUMI  /  ASTERVALE  /  INTERNAL DECISION SUPPORT</w:t>
          </w:r>
        </w:p>
      </w:tc>
      <w:tc>
        <w:tcPr>
          <w:tcW w:type="dxa" w:w="3254"/>
          <w:tcMar>
            <w:top w:w="0" w:type="dxa"/>
            <w:start w:w="0" w:type="dxa"/>
            <w:bottom w:w="60" w:type="dxa"/>
            <w:end w:w="0" w:type="dxa"/>
          </w:tcMar>
          <w:tcBorders>
            <w:bottom w:val="single" w:sz="7" w:color="D5DEE2"/>
          </w:tcBorders>
        </w:tcPr>
        <w:p>
          <w:pPr>
            <w:keepNext w:val="0"/>
            <w:spacing w:before="0" w:after="40" w:line="240" w:lineRule="auto"/>
            <w:jc w:val="right"/>
          </w:pPr>
          <w:r>
            <w:rPr>
              <w:rFonts w:ascii="Aptos" w:hAnsi="Aptos" w:eastAsia="Aptos"/>
              <w:b/>
              <w:i w:val="0"/>
              <w:color w:val="5E7079"/>
              <w:sz w:val="15"/>
            </w:rPr>
            <w:t>AV-2026-041  ·  30 SEP 2026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2334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eastAsia="Aptos"/>
      <w:b/>
      <w:bCs/>
      <w:color w:val="183047"/>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225B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eastAsia="Aptos"/>
      <w:b/>
      <w:color w:val="183047"/>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eastAsia="Aptos"/>
      <w:i/>
      <w:iCs/>
      <w:color w:val="5E7079"/>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AsterVale | Go / No-Go Decision Recommendation</dc:title>
  <dc:subject>Conditional bid participation decision for AV-2026-041</dc:subject>
  <dc:creator>Noumi</dc:creator>
  <cp:keywords>Go/No-Go, RFP, AsterVale, presales</cp:keywords>
  <dc:description>generated by python-docx</dc:description>
  <cp:lastModifiedBy/>
  <cp:revision>1</cp:revision>
  <dcterms:created xsi:type="dcterms:W3CDTF">2013-12-23T23:15:00Z</dcterms:created>
  <dcterms:modified xsi:type="dcterms:W3CDTF">2013-12-23T23:15:00Z</dcterms:modified>
  <cp:category/>
</cp:coreProperties>
</file>